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81" w:rsidRDefault="00CC5581" w:rsidP="00CC5581">
      <w:pPr>
        <w:pStyle w:val="Caption"/>
        <w:jc w:val="center"/>
      </w:pPr>
      <w:r>
        <w:t>CHAPTER 13</w:t>
      </w:r>
    </w:p>
    <w:p w:rsidR="00CC5581" w:rsidRDefault="00CC5581" w:rsidP="00CC5581">
      <w:pPr>
        <w:pStyle w:val="Title"/>
        <w:rPr>
          <w:szCs w:val="28"/>
        </w:rPr>
      </w:pPr>
    </w:p>
    <w:p w:rsidR="00CC5581" w:rsidRDefault="00CC5581" w:rsidP="00CC5581">
      <w:pPr>
        <w:pStyle w:val="Subtitle"/>
        <w:rPr>
          <w:caps/>
          <w:sz w:val="40"/>
          <w:szCs w:val="40"/>
        </w:rPr>
      </w:pPr>
      <w:r>
        <w:rPr>
          <w:caps/>
          <w:sz w:val="40"/>
          <w:szCs w:val="40"/>
        </w:rPr>
        <w:t>NON-FINANCIAL AND Current liabilitieS</w:t>
      </w:r>
    </w:p>
    <w:p w:rsidR="00CC5581" w:rsidRDefault="00CC5581" w:rsidP="00CC5581">
      <w:pPr>
        <w:pStyle w:val="Title"/>
        <w:jc w:val="left"/>
        <w:rPr>
          <w:szCs w:val="28"/>
        </w:rPr>
      </w:pPr>
    </w:p>
    <w:p w:rsidR="00CC5581" w:rsidRDefault="00CC5581" w:rsidP="00CC5581">
      <w:pPr>
        <w:pStyle w:val="Heading4"/>
        <w:numPr>
          <w:ilvl w:val="0"/>
          <w:numId w:val="0"/>
        </w:numPr>
        <w:tabs>
          <w:tab w:val="left" w:pos="720"/>
        </w:tabs>
        <w:rPr>
          <w:rFonts w:ascii="Arial" w:hAnsi="Arial"/>
          <w:sz w:val="32"/>
          <w:szCs w:val="32"/>
        </w:rPr>
      </w:pPr>
      <w:r>
        <w:rPr>
          <w:rFonts w:ascii="Arial" w:hAnsi="Arial"/>
          <w:sz w:val="32"/>
          <w:szCs w:val="32"/>
        </w:rPr>
        <w:t>ASSIGNMENT CLASSIFICATION TABLE</w:t>
      </w:r>
    </w:p>
    <w:p w:rsidR="00CC5581" w:rsidRDefault="00CC5581" w:rsidP="00CC5581">
      <w:pPr>
        <w:rPr>
          <w:rFonts w:ascii="Arial" w:hAnsi="Arial"/>
          <w:b/>
          <w:sz w:val="24"/>
          <w:highlight w:val="yellow"/>
        </w:rPr>
      </w:pPr>
    </w:p>
    <w:tbl>
      <w:tblPr>
        <w:tblW w:w="8760" w:type="dxa"/>
        <w:tblLayout w:type="fixed"/>
        <w:tblLook w:val="04A0" w:firstRow="1" w:lastRow="0" w:firstColumn="1" w:lastColumn="0" w:noHBand="0" w:noVBand="1"/>
      </w:tblPr>
      <w:tblGrid>
        <w:gridCol w:w="610"/>
        <w:gridCol w:w="2618"/>
        <w:gridCol w:w="1418"/>
        <w:gridCol w:w="1419"/>
        <w:gridCol w:w="1418"/>
        <w:gridCol w:w="1277"/>
      </w:tblGrid>
      <w:tr w:rsidR="00CC5581" w:rsidTr="00CC5581">
        <w:trPr>
          <w:cantSplit/>
        </w:trPr>
        <w:tc>
          <w:tcPr>
            <w:tcW w:w="3227" w:type="dxa"/>
            <w:gridSpan w:val="2"/>
            <w:tcBorders>
              <w:top w:val="nil"/>
              <w:left w:val="nil"/>
              <w:bottom w:val="single" w:sz="4" w:space="0" w:color="auto"/>
              <w:right w:val="nil"/>
            </w:tcBorders>
            <w:hideMark/>
          </w:tcPr>
          <w:p w:rsidR="00CC5581" w:rsidRDefault="00CC5581">
            <w:pPr>
              <w:pStyle w:val="Heading3"/>
              <w:numPr>
                <w:ilvl w:val="0"/>
                <w:numId w:val="0"/>
              </w:numPr>
              <w:tabs>
                <w:tab w:val="left" w:pos="720"/>
              </w:tabs>
              <w:spacing w:after="60"/>
              <w:rPr>
                <w:rFonts w:ascii="Arial" w:hAnsi="Arial"/>
                <w:b w:val="0"/>
                <w:sz w:val="24"/>
              </w:rPr>
            </w:pPr>
            <w:r>
              <w:rPr>
                <w:rFonts w:ascii="Arial" w:hAnsi="Arial"/>
                <w:b w:val="0"/>
                <w:sz w:val="24"/>
              </w:rPr>
              <w:br/>
            </w:r>
          </w:p>
          <w:p w:rsidR="00CC5581" w:rsidRDefault="00CC5581">
            <w:pPr>
              <w:pStyle w:val="Heading3"/>
              <w:numPr>
                <w:ilvl w:val="0"/>
                <w:numId w:val="0"/>
              </w:numPr>
              <w:tabs>
                <w:tab w:val="left" w:pos="720"/>
              </w:tabs>
              <w:spacing w:after="60"/>
              <w:rPr>
                <w:rFonts w:ascii="Arial" w:hAnsi="Arial"/>
                <w:sz w:val="24"/>
              </w:rPr>
            </w:pPr>
            <w:r>
              <w:rPr>
                <w:rFonts w:ascii="Arial" w:hAnsi="Arial"/>
                <w:sz w:val="24"/>
              </w:rPr>
              <w:t>Topics</w:t>
            </w:r>
          </w:p>
        </w:tc>
        <w:tc>
          <w:tcPr>
            <w:tcW w:w="1417" w:type="dxa"/>
            <w:tcBorders>
              <w:top w:val="nil"/>
              <w:left w:val="nil"/>
              <w:bottom w:val="single" w:sz="4" w:space="0" w:color="auto"/>
              <w:right w:val="nil"/>
            </w:tcBorders>
          </w:tcPr>
          <w:p w:rsidR="00CC5581" w:rsidRDefault="00CC5581">
            <w:pPr>
              <w:spacing w:after="60"/>
              <w:jc w:val="center"/>
              <w:rPr>
                <w:rFonts w:ascii="Arial" w:hAnsi="Arial"/>
                <w:b/>
                <w:sz w:val="24"/>
              </w:rPr>
            </w:pPr>
          </w:p>
          <w:p w:rsidR="00CC5581" w:rsidRDefault="00CC5581">
            <w:pPr>
              <w:spacing w:after="60"/>
              <w:jc w:val="center"/>
              <w:rPr>
                <w:rFonts w:ascii="Arial" w:hAnsi="Arial"/>
                <w:b/>
                <w:sz w:val="24"/>
              </w:rPr>
            </w:pPr>
            <w:r>
              <w:rPr>
                <w:rFonts w:ascii="Arial" w:hAnsi="Arial"/>
                <w:b/>
                <w:sz w:val="24"/>
              </w:rPr>
              <w:t>Brief Exercises</w:t>
            </w:r>
          </w:p>
        </w:tc>
        <w:tc>
          <w:tcPr>
            <w:tcW w:w="1418" w:type="dxa"/>
            <w:tcBorders>
              <w:top w:val="nil"/>
              <w:left w:val="nil"/>
              <w:bottom w:val="single" w:sz="4" w:space="0" w:color="auto"/>
              <w:right w:val="nil"/>
            </w:tcBorders>
          </w:tcPr>
          <w:p w:rsidR="00CC5581" w:rsidRDefault="00CC5581">
            <w:pPr>
              <w:spacing w:after="60"/>
              <w:rPr>
                <w:rFonts w:ascii="Arial" w:hAnsi="Arial"/>
                <w:b/>
                <w:sz w:val="24"/>
              </w:rPr>
            </w:pPr>
          </w:p>
          <w:p w:rsidR="00CC5581" w:rsidRDefault="00CC5581">
            <w:pPr>
              <w:spacing w:after="60"/>
              <w:rPr>
                <w:rFonts w:ascii="Arial" w:hAnsi="Arial"/>
                <w:b/>
                <w:sz w:val="24"/>
              </w:rPr>
            </w:pPr>
            <w:r>
              <w:rPr>
                <w:rFonts w:ascii="Arial" w:hAnsi="Arial"/>
                <w:b/>
                <w:sz w:val="24"/>
              </w:rPr>
              <w:br/>
              <w:t>Exercises</w:t>
            </w:r>
          </w:p>
        </w:tc>
        <w:tc>
          <w:tcPr>
            <w:tcW w:w="1417" w:type="dxa"/>
            <w:tcBorders>
              <w:top w:val="nil"/>
              <w:left w:val="nil"/>
              <w:bottom w:val="single" w:sz="4" w:space="0" w:color="auto"/>
              <w:right w:val="nil"/>
            </w:tcBorders>
          </w:tcPr>
          <w:p w:rsidR="00CC5581" w:rsidRDefault="00CC5581">
            <w:pPr>
              <w:spacing w:after="60"/>
              <w:rPr>
                <w:rFonts w:ascii="Arial" w:hAnsi="Arial"/>
                <w:b/>
                <w:sz w:val="24"/>
              </w:rPr>
            </w:pPr>
          </w:p>
          <w:p w:rsidR="00CC5581" w:rsidRDefault="00CC5581">
            <w:pPr>
              <w:spacing w:after="60"/>
              <w:rPr>
                <w:rFonts w:ascii="Arial" w:hAnsi="Arial"/>
                <w:b/>
                <w:sz w:val="24"/>
              </w:rPr>
            </w:pPr>
            <w:r>
              <w:rPr>
                <w:rFonts w:ascii="Arial" w:hAnsi="Arial"/>
                <w:b/>
                <w:sz w:val="24"/>
              </w:rPr>
              <w:br/>
              <w:t>Problems</w:t>
            </w:r>
          </w:p>
        </w:tc>
        <w:tc>
          <w:tcPr>
            <w:tcW w:w="1276" w:type="dxa"/>
            <w:tcBorders>
              <w:top w:val="nil"/>
              <w:left w:val="nil"/>
              <w:bottom w:val="single" w:sz="4" w:space="0" w:color="auto"/>
              <w:right w:val="nil"/>
            </w:tcBorders>
            <w:hideMark/>
          </w:tcPr>
          <w:p w:rsidR="00CC5581" w:rsidRDefault="00CC5581">
            <w:pPr>
              <w:spacing w:after="60"/>
              <w:jc w:val="center"/>
              <w:rPr>
                <w:rFonts w:ascii="Arial" w:hAnsi="Arial"/>
                <w:b/>
                <w:sz w:val="24"/>
              </w:rPr>
            </w:pPr>
            <w:r>
              <w:rPr>
                <w:rFonts w:ascii="Arial" w:hAnsi="Arial"/>
                <w:b/>
                <w:sz w:val="24"/>
              </w:rPr>
              <w:t>Writing Assign-ments</w:t>
            </w:r>
          </w:p>
        </w:tc>
      </w:tr>
      <w:tr w:rsidR="00CC5581" w:rsidTr="00CC5581">
        <w:tc>
          <w:tcPr>
            <w:tcW w:w="610" w:type="dxa"/>
            <w:hideMark/>
          </w:tcPr>
          <w:p w:rsidR="00CC5581" w:rsidRDefault="00CC5581">
            <w:pPr>
              <w:spacing w:before="240"/>
              <w:jc w:val="right"/>
              <w:rPr>
                <w:rFonts w:ascii="Arial" w:hAnsi="Arial"/>
                <w:sz w:val="24"/>
              </w:rPr>
            </w:pPr>
            <w:r>
              <w:rPr>
                <w:rFonts w:ascii="Arial" w:hAnsi="Arial"/>
                <w:sz w:val="24"/>
              </w:rPr>
              <w:t>1.</w:t>
            </w:r>
          </w:p>
        </w:tc>
        <w:tc>
          <w:tcPr>
            <w:tcW w:w="2617" w:type="dxa"/>
            <w:hideMark/>
          </w:tcPr>
          <w:p w:rsidR="00CC5581" w:rsidRDefault="00CC5581">
            <w:pPr>
              <w:spacing w:before="240"/>
              <w:rPr>
                <w:rFonts w:ascii="Arial" w:hAnsi="Arial"/>
                <w:sz w:val="24"/>
              </w:rPr>
            </w:pPr>
            <w:r>
              <w:rPr>
                <w:rFonts w:ascii="Arial" w:hAnsi="Arial"/>
                <w:sz w:val="24"/>
              </w:rPr>
              <w:t>Concept of liabilities; definition and classification.</w:t>
            </w:r>
          </w:p>
        </w:tc>
        <w:tc>
          <w:tcPr>
            <w:tcW w:w="1417" w:type="dxa"/>
            <w:hideMark/>
          </w:tcPr>
          <w:p w:rsidR="00CC5581" w:rsidRDefault="00CC5581">
            <w:pPr>
              <w:spacing w:before="240"/>
              <w:rPr>
                <w:rFonts w:ascii="Arial" w:hAnsi="Arial"/>
                <w:sz w:val="24"/>
              </w:rPr>
            </w:pPr>
            <w:r>
              <w:rPr>
                <w:rFonts w:ascii="Arial" w:hAnsi="Arial"/>
                <w:sz w:val="24"/>
              </w:rPr>
              <w:t>1</w:t>
            </w:r>
          </w:p>
        </w:tc>
        <w:tc>
          <w:tcPr>
            <w:tcW w:w="1418" w:type="dxa"/>
            <w:hideMark/>
          </w:tcPr>
          <w:p w:rsidR="00CC5581" w:rsidRDefault="00CC5581">
            <w:pPr>
              <w:spacing w:before="240"/>
              <w:rPr>
                <w:rFonts w:ascii="Arial" w:hAnsi="Arial"/>
                <w:sz w:val="24"/>
              </w:rPr>
            </w:pPr>
            <w:r>
              <w:rPr>
                <w:rFonts w:ascii="Arial" w:hAnsi="Arial"/>
                <w:sz w:val="24"/>
              </w:rPr>
              <w:t>1</w:t>
            </w:r>
          </w:p>
        </w:tc>
        <w:tc>
          <w:tcPr>
            <w:tcW w:w="1417" w:type="dxa"/>
            <w:hideMark/>
          </w:tcPr>
          <w:p w:rsidR="00CC5581" w:rsidRDefault="00CC5581">
            <w:pPr>
              <w:spacing w:before="240"/>
              <w:rPr>
                <w:rFonts w:ascii="Arial" w:hAnsi="Arial"/>
                <w:sz w:val="24"/>
              </w:rPr>
            </w:pPr>
            <w:r>
              <w:rPr>
                <w:rFonts w:ascii="Arial" w:hAnsi="Arial"/>
                <w:sz w:val="24"/>
              </w:rPr>
              <w:t>1</w:t>
            </w:r>
          </w:p>
        </w:tc>
        <w:tc>
          <w:tcPr>
            <w:tcW w:w="1276" w:type="dxa"/>
            <w:hideMark/>
          </w:tcPr>
          <w:p w:rsidR="00CC5581" w:rsidRDefault="00CC5581">
            <w:pPr>
              <w:spacing w:before="240"/>
              <w:rPr>
                <w:rFonts w:ascii="Arial" w:hAnsi="Arial"/>
                <w:sz w:val="24"/>
              </w:rPr>
            </w:pPr>
            <w:r>
              <w:rPr>
                <w:rFonts w:ascii="Arial" w:hAnsi="Arial"/>
                <w:sz w:val="24"/>
              </w:rPr>
              <w:t>2, 5</w:t>
            </w:r>
          </w:p>
        </w:tc>
      </w:tr>
      <w:tr w:rsidR="00CC5581" w:rsidTr="00CC5581">
        <w:tc>
          <w:tcPr>
            <w:tcW w:w="610" w:type="dxa"/>
            <w:hideMark/>
          </w:tcPr>
          <w:p w:rsidR="00CC5581" w:rsidRDefault="00CC5581">
            <w:pPr>
              <w:spacing w:before="240"/>
              <w:jc w:val="right"/>
              <w:rPr>
                <w:rFonts w:ascii="Arial" w:hAnsi="Arial"/>
                <w:sz w:val="24"/>
              </w:rPr>
            </w:pPr>
            <w:r>
              <w:rPr>
                <w:rFonts w:ascii="Arial" w:hAnsi="Arial"/>
                <w:sz w:val="24"/>
              </w:rPr>
              <w:t>2.</w:t>
            </w:r>
          </w:p>
        </w:tc>
        <w:tc>
          <w:tcPr>
            <w:tcW w:w="2617" w:type="dxa"/>
            <w:hideMark/>
          </w:tcPr>
          <w:p w:rsidR="00CC5581" w:rsidRDefault="00CC5581">
            <w:pPr>
              <w:spacing w:before="240"/>
              <w:rPr>
                <w:rFonts w:ascii="Arial" w:hAnsi="Arial"/>
                <w:sz w:val="24"/>
              </w:rPr>
            </w:pPr>
            <w:r>
              <w:rPr>
                <w:rFonts w:ascii="Arial" w:hAnsi="Arial"/>
                <w:sz w:val="24"/>
              </w:rPr>
              <w:t>Current liabilities including accounts and notes payable, dividends payable, sales and income tax payable and short-term obligations expected to be refinanced.</w:t>
            </w:r>
          </w:p>
        </w:tc>
        <w:tc>
          <w:tcPr>
            <w:tcW w:w="1417" w:type="dxa"/>
            <w:hideMark/>
          </w:tcPr>
          <w:p w:rsidR="00CC5581" w:rsidRDefault="00CC5581">
            <w:pPr>
              <w:spacing w:before="240"/>
              <w:rPr>
                <w:rFonts w:ascii="Arial" w:hAnsi="Arial"/>
                <w:sz w:val="24"/>
              </w:rPr>
            </w:pPr>
            <w:r>
              <w:rPr>
                <w:rFonts w:ascii="Arial" w:hAnsi="Arial"/>
                <w:sz w:val="24"/>
              </w:rPr>
              <w:t>2, 3, 4, 5, 6, 7, 8, 9, 10, 11, 12</w:t>
            </w:r>
          </w:p>
        </w:tc>
        <w:tc>
          <w:tcPr>
            <w:tcW w:w="1418" w:type="dxa"/>
            <w:hideMark/>
          </w:tcPr>
          <w:p w:rsidR="00CC5581" w:rsidRDefault="00CC5581">
            <w:pPr>
              <w:spacing w:before="240"/>
              <w:rPr>
                <w:rFonts w:ascii="Arial" w:hAnsi="Arial"/>
                <w:sz w:val="24"/>
              </w:rPr>
            </w:pPr>
            <w:r>
              <w:rPr>
                <w:rFonts w:ascii="Arial" w:hAnsi="Arial"/>
                <w:sz w:val="24"/>
              </w:rPr>
              <w:t>2, 3, 4, 5, 6, 7, 8</w:t>
            </w:r>
          </w:p>
        </w:tc>
        <w:tc>
          <w:tcPr>
            <w:tcW w:w="1417" w:type="dxa"/>
            <w:hideMark/>
          </w:tcPr>
          <w:p w:rsidR="00CC5581" w:rsidRDefault="00CC5581">
            <w:pPr>
              <w:spacing w:before="240"/>
              <w:rPr>
                <w:rFonts w:ascii="Arial" w:hAnsi="Arial"/>
                <w:sz w:val="24"/>
              </w:rPr>
            </w:pPr>
            <w:r>
              <w:rPr>
                <w:rFonts w:ascii="Arial" w:hAnsi="Arial"/>
                <w:sz w:val="24"/>
              </w:rPr>
              <w:t>1, 2, 3, 4</w:t>
            </w:r>
          </w:p>
        </w:tc>
        <w:tc>
          <w:tcPr>
            <w:tcW w:w="1276" w:type="dxa"/>
          </w:tcPr>
          <w:p w:rsidR="00CC5581" w:rsidRDefault="00CC5581">
            <w:pPr>
              <w:spacing w:before="240"/>
              <w:rPr>
                <w:rFonts w:ascii="Arial" w:hAnsi="Arial"/>
                <w:sz w:val="24"/>
              </w:rPr>
            </w:pPr>
          </w:p>
        </w:tc>
      </w:tr>
      <w:tr w:rsidR="00CC5581" w:rsidTr="00CC5581">
        <w:tc>
          <w:tcPr>
            <w:tcW w:w="610" w:type="dxa"/>
            <w:hideMark/>
          </w:tcPr>
          <w:p w:rsidR="00CC5581" w:rsidRDefault="00CC5581">
            <w:pPr>
              <w:spacing w:before="240"/>
              <w:jc w:val="right"/>
              <w:rPr>
                <w:rFonts w:ascii="Arial" w:hAnsi="Arial"/>
                <w:sz w:val="24"/>
              </w:rPr>
            </w:pPr>
            <w:r>
              <w:rPr>
                <w:rFonts w:ascii="Arial" w:hAnsi="Arial"/>
                <w:sz w:val="24"/>
              </w:rPr>
              <w:t>3.</w:t>
            </w:r>
          </w:p>
        </w:tc>
        <w:tc>
          <w:tcPr>
            <w:tcW w:w="2617" w:type="dxa"/>
            <w:hideMark/>
          </w:tcPr>
          <w:p w:rsidR="00CC5581" w:rsidRDefault="00CC5581">
            <w:pPr>
              <w:spacing w:before="240"/>
              <w:rPr>
                <w:rFonts w:ascii="Arial" w:hAnsi="Arial"/>
                <w:sz w:val="24"/>
              </w:rPr>
            </w:pPr>
            <w:r>
              <w:rPr>
                <w:rFonts w:ascii="Arial" w:hAnsi="Arial"/>
                <w:sz w:val="24"/>
              </w:rPr>
              <w:t>Employee-related liabilities.</w:t>
            </w:r>
          </w:p>
        </w:tc>
        <w:tc>
          <w:tcPr>
            <w:tcW w:w="1417" w:type="dxa"/>
            <w:hideMark/>
          </w:tcPr>
          <w:p w:rsidR="00CC5581" w:rsidRDefault="00CC5581">
            <w:pPr>
              <w:spacing w:before="240"/>
              <w:rPr>
                <w:rFonts w:ascii="Arial" w:hAnsi="Arial"/>
                <w:sz w:val="24"/>
              </w:rPr>
            </w:pPr>
            <w:r>
              <w:rPr>
                <w:rFonts w:ascii="Arial" w:hAnsi="Arial"/>
                <w:sz w:val="24"/>
              </w:rPr>
              <w:t>13, 14, 15, 16, 17</w:t>
            </w:r>
          </w:p>
        </w:tc>
        <w:tc>
          <w:tcPr>
            <w:tcW w:w="1418" w:type="dxa"/>
            <w:hideMark/>
          </w:tcPr>
          <w:p w:rsidR="00CC5581" w:rsidRDefault="00CC5581">
            <w:pPr>
              <w:spacing w:before="240"/>
              <w:rPr>
                <w:rFonts w:ascii="Arial" w:hAnsi="Arial"/>
                <w:sz w:val="24"/>
              </w:rPr>
            </w:pPr>
            <w:r>
              <w:rPr>
                <w:rFonts w:ascii="Arial" w:hAnsi="Arial"/>
                <w:sz w:val="24"/>
              </w:rPr>
              <w:t>6, 9, 10, 11, 12, 13</w:t>
            </w:r>
          </w:p>
        </w:tc>
        <w:tc>
          <w:tcPr>
            <w:tcW w:w="1417" w:type="dxa"/>
            <w:hideMark/>
          </w:tcPr>
          <w:p w:rsidR="00CC5581" w:rsidRDefault="00CC5581">
            <w:pPr>
              <w:spacing w:before="240"/>
              <w:rPr>
                <w:rFonts w:ascii="Arial" w:hAnsi="Arial"/>
                <w:sz w:val="24"/>
              </w:rPr>
            </w:pPr>
            <w:r>
              <w:rPr>
                <w:rFonts w:ascii="Arial" w:hAnsi="Arial"/>
                <w:sz w:val="24"/>
              </w:rPr>
              <w:t>3, 5, 6, 7</w:t>
            </w:r>
          </w:p>
        </w:tc>
        <w:tc>
          <w:tcPr>
            <w:tcW w:w="1276" w:type="dxa"/>
            <w:hideMark/>
          </w:tcPr>
          <w:p w:rsidR="00CC5581" w:rsidRDefault="00CC5581">
            <w:pPr>
              <w:spacing w:before="240"/>
              <w:rPr>
                <w:rFonts w:ascii="Arial" w:hAnsi="Arial"/>
                <w:sz w:val="24"/>
              </w:rPr>
            </w:pPr>
            <w:r>
              <w:rPr>
                <w:rFonts w:ascii="Arial" w:hAnsi="Arial"/>
                <w:sz w:val="24"/>
              </w:rPr>
              <w:t>4</w:t>
            </w:r>
          </w:p>
        </w:tc>
      </w:tr>
      <w:tr w:rsidR="00CC5581" w:rsidTr="00CC5581">
        <w:tc>
          <w:tcPr>
            <w:tcW w:w="610" w:type="dxa"/>
            <w:hideMark/>
          </w:tcPr>
          <w:p w:rsidR="00CC5581" w:rsidRDefault="00CC5581">
            <w:pPr>
              <w:spacing w:before="240"/>
              <w:jc w:val="right"/>
              <w:rPr>
                <w:rFonts w:ascii="Arial" w:hAnsi="Arial"/>
                <w:sz w:val="24"/>
              </w:rPr>
            </w:pPr>
            <w:r>
              <w:rPr>
                <w:rFonts w:ascii="Arial" w:hAnsi="Arial"/>
                <w:sz w:val="24"/>
              </w:rPr>
              <w:t>4.</w:t>
            </w:r>
          </w:p>
        </w:tc>
        <w:tc>
          <w:tcPr>
            <w:tcW w:w="2617" w:type="dxa"/>
            <w:hideMark/>
          </w:tcPr>
          <w:p w:rsidR="00CC5581" w:rsidRDefault="00CC5581">
            <w:pPr>
              <w:spacing w:before="240"/>
              <w:rPr>
                <w:rFonts w:ascii="Arial" w:hAnsi="Arial"/>
                <w:sz w:val="24"/>
              </w:rPr>
            </w:pPr>
            <w:r>
              <w:rPr>
                <w:rFonts w:ascii="Arial" w:hAnsi="Arial"/>
                <w:sz w:val="24"/>
              </w:rPr>
              <w:t>Asset retirement obligations.</w:t>
            </w:r>
          </w:p>
        </w:tc>
        <w:tc>
          <w:tcPr>
            <w:tcW w:w="1417" w:type="dxa"/>
            <w:hideMark/>
          </w:tcPr>
          <w:p w:rsidR="00CC5581" w:rsidRDefault="00CC5581">
            <w:pPr>
              <w:spacing w:before="240"/>
              <w:rPr>
                <w:rFonts w:ascii="Arial" w:hAnsi="Arial"/>
                <w:sz w:val="24"/>
              </w:rPr>
            </w:pPr>
            <w:r>
              <w:rPr>
                <w:rFonts w:ascii="Arial" w:hAnsi="Arial"/>
                <w:sz w:val="24"/>
              </w:rPr>
              <w:t>18, 19, 20</w:t>
            </w:r>
          </w:p>
        </w:tc>
        <w:tc>
          <w:tcPr>
            <w:tcW w:w="1418" w:type="dxa"/>
            <w:hideMark/>
          </w:tcPr>
          <w:p w:rsidR="00CC5581" w:rsidRDefault="00CC5581">
            <w:pPr>
              <w:spacing w:before="240"/>
              <w:rPr>
                <w:rFonts w:ascii="Arial" w:hAnsi="Arial"/>
                <w:sz w:val="24"/>
              </w:rPr>
            </w:pPr>
            <w:r>
              <w:rPr>
                <w:rFonts w:ascii="Arial" w:hAnsi="Arial"/>
                <w:sz w:val="24"/>
              </w:rPr>
              <w:t>14, 15</w:t>
            </w:r>
          </w:p>
        </w:tc>
        <w:tc>
          <w:tcPr>
            <w:tcW w:w="1417" w:type="dxa"/>
            <w:hideMark/>
          </w:tcPr>
          <w:p w:rsidR="00CC5581" w:rsidRDefault="00CC5581">
            <w:pPr>
              <w:spacing w:before="240"/>
              <w:rPr>
                <w:rFonts w:ascii="Arial" w:hAnsi="Arial"/>
                <w:sz w:val="24"/>
              </w:rPr>
            </w:pPr>
            <w:r>
              <w:rPr>
                <w:rFonts w:ascii="Arial" w:hAnsi="Arial"/>
                <w:sz w:val="24"/>
              </w:rPr>
              <w:t>1, 4, 8</w:t>
            </w:r>
          </w:p>
        </w:tc>
        <w:tc>
          <w:tcPr>
            <w:tcW w:w="1276" w:type="dxa"/>
            <w:hideMark/>
          </w:tcPr>
          <w:p w:rsidR="00CC5581" w:rsidRDefault="00CC5581">
            <w:pPr>
              <w:spacing w:before="240"/>
              <w:rPr>
                <w:rFonts w:ascii="Arial" w:hAnsi="Arial"/>
                <w:sz w:val="24"/>
              </w:rPr>
            </w:pPr>
            <w:r>
              <w:rPr>
                <w:rFonts w:ascii="Arial" w:hAnsi="Arial"/>
                <w:sz w:val="24"/>
              </w:rPr>
              <w:t>1</w:t>
            </w:r>
          </w:p>
        </w:tc>
      </w:tr>
      <w:tr w:rsidR="00CC5581" w:rsidTr="00CC5581">
        <w:tc>
          <w:tcPr>
            <w:tcW w:w="610" w:type="dxa"/>
            <w:hideMark/>
          </w:tcPr>
          <w:p w:rsidR="00CC5581" w:rsidRDefault="00CC5581">
            <w:pPr>
              <w:spacing w:before="240"/>
              <w:jc w:val="right"/>
              <w:rPr>
                <w:rFonts w:ascii="Arial" w:hAnsi="Arial"/>
                <w:sz w:val="24"/>
              </w:rPr>
            </w:pPr>
            <w:r>
              <w:rPr>
                <w:rFonts w:ascii="Arial" w:hAnsi="Arial"/>
                <w:sz w:val="24"/>
              </w:rPr>
              <w:t>5.</w:t>
            </w:r>
          </w:p>
        </w:tc>
        <w:tc>
          <w:tcPr>
            <w:tcW w:w="2617" w:type="dxa"/>
            <w:hideMark/>
          </w:tcPr>
          <w:p w:rsidR="00CC5581" w:rsidRDefault="00CC5581">
            <w:pPr>
              <w:spacing w:before="240"/>
              <w:rPr>
                <w:rFonts w:ascii="Arial" w:hAnsi="Arial"/>
                <w:sz w:val="24"/>
              </w:rPr>
            </w:pPr>
            <w:r>
              <w:rPr>
                <w:rFonts w:ascii="Arial" w:hAnsi="Arial"/>
                <w:sz w:val="24"/>
              </w:rPr>
              <w:t>Unearned revenues, product guaranties, warranties and other customer programs.</w:t>
            </w:r>
          </w:p>
        </w:tc>
        <w:tc>
          <w:tcPr>
            <w:tcW w:w="1417" w:type="dxa"/>
            <w:hideMark/>
          </w:tcPr>
          <w:p w:rsidR="00CC5581" w:rsidRDefault="00CC5581">
            <w:pPr>
              <w:spacing w:before="240"/>
              <w:rPr>
                <w:rFonts w:ascii="Arial" w:hAnsi="Arial"/>
                <w:sz w:val="24"/>
              </w:rPr>
            </w:pPr>
            <w:r>
              <w:rPr>
                <w:rFonts w:ascii="Arial" w:hAnsi="Arial"/>
                <w:sz w:val="24"/>
              </w:rPr>
              <w:t>21, 22, 23, 24</w:t>
            </w:r>
          </w:p>
        </w:tc>
        <w:tc>
          <w:tcPr>
            <w:tcW w:w="1418" w:type="dxa"/>
            <w:hideMark/>
          </w:tcPr>
          <w:p w:rsidR="00CC5581" w:rsidRDefault="00CC5581">
            <w:pPr>
              <w:spacing w:before="240"/>
              <w:rPr>
                <w:rFonts w:ascii="Arial" w:hAnsi="Arial"/>
                <w:sz w:val="24"/>
              </w:rPr>
            </w:pPr>
            <w:r>
              <w:rPr>
                <w:rFonts w:ascii="Arial" w:hAnsi="Arial"/>
                <w:sz w:val="24"/>
              </w:rPr>
              <w:t>6, 16, 17, 18, 19, 20, 21, 22, 23</w:t>
            </w:r>
          </w:p>
        </w:tc>
        <w:tc>
          <w:tcPr>
            <w:tcW w:w="1417" w:type="dxa"/>
            <w:hideMark/>
          </w:tcPr>
          <w:p w:rsidR="00CC5581" w:rsidRDefault="00CC5581">
            <w:pPr>
              <w:spacing w:before="240"/>
              <w:rPr>
                <w:rFonts w:ascii="Arial" w:hAnsi="Arial"/>
                <w:sz w:val="24"/>
              </w:rPr>
            </w:pPr>
            <w:r>
              <w:rPr>
                <w:rFonts w:ascii="Arial" w:hAnsi="Arial"/>
                <w:sz w:val="24"/>
              </w:rPr>
              <w:t>1, 3, 4, 9, 10, 11, 12, 13, 14, 15</w:t>
            </w:r>
          </w:p>
        </w:tc>
        <w:tc>
          <w:tcPr>
            <w:tcW w:w="1276" w:type="dxa"/>
            <w:hideMark/>
          </w:tcPr>
          <w:p w:rsidR="00CC5581" w:rsidRDefault="00CC5581">
            <w:pPr>
              <w:spacing w:before="240"/>
              <w:rPr>
                <w:rFonts w:ascii="Arial" w:hAnsi="Arial"/>
                <w:sz w:val="24"/>
              </w:rPr>
            </w:pPr>
            <w:r>
              <w:rPr>
                <w:rFonts w:ascii="Arial" w:hAnsi="Arial"/>
                <w:sz w:val="24"/>
              </w:rPr>
              <w:t>1, 3</w:t>
            </w:r>
          </w:p>
        </w:tc>
      </w:tr>
      <w:tr w:rsidR="00CC5581" w:rsidTr="00CC5581">
        <w:tc>
          <w:tcPr>
            <w:tcW w:w="610" w:type="dxa"/>
            <w:hideMark/>
          </w:tcPr>
          <w:p w:rsidR="00CC5581" w:rsidRDefault="00CC5581">
            <w:pPr>
              <w:spacing w:before="240"/>
              <w:jc w:val="right"/>
              <w:rPr>
                <w:rFonts w:ascii="Arial" w:hAnsi="Arial"/>
                <w:sz w:val="24"/>
              </w:rPr>
            </w:pPr>
            <w:r>
              <w:rPr>
                <w:rFonts w:ascii="Arial" w:hAnsi="Arial"/>
                <w:sz w:val="24"/>
              </w:rPr>
              <w:t xml:space="preserve">  6.</w:t>
            </w:r>
          </w:p>
        </w:tc>
        <w:tc>
          <w:tcPr>
            <w:tcW w:w="2617" w:type="dxa"/>
            <w:hideMark/>
          </w:tcPr>
          <w:p w:rsidR="00CC5581" w:rsidRDefault="00CC5581">
            <w:pPr>
              <w:spacing w:before="240"/>
              <w:rPr>
                <w:rFonts w:ascii="Arial" w:hAnsi="Arial"/>
                <w:sz w:val="24"/>
              </w:rPr>
            </w:pPr>
            <w:r>
              <w:rPr>
                <w:rFonts w:ascii="Arial" w:hAnsi="Arial"/>
                <w:sz w:val="24"/>
              </w:rPr>
              <w:t>Contingencies, guarantees and uncertain commitments.</w:t>
            </w:r>
          </w:p>
        </w:tc>
        <w:tc>
          <w:tcPr>
            <w:tcW w:w="1417" w:type="dxa"/>
            <w:hideMark/>
          </w:tcPr>
          <w:p w:rsidR="00CC5581" w:rsidRDefault="00CC5581">
            <w:pPr>
              <w:spacing w:before="240"/>
              <w:rPr>
                <w:rFonts w:ascii="Arial" w:hAnsi="Arial"/>
                <w:sz w:val="24"/>
              </w:rPr>
            </w:pPr>
            <w:r>
              <w:rPr>
                <w:rFonts w:ascii="Arial" w:hAnsi="Arial"/>
                <w:sz w:val="24"/>
              </w:rPr>
              <w:t>25, 26</w:t>
            </w:r>
          </w:p>
        </w:tc>
        <w:tc>
          <w:tcPr>
            <w:tcW w:w="1418" w:type="dxa"/>
            <w:hideMark/>
          </w:tcPr>
          <w:p w:rsidR="00CC5581" w:rsidRDefault="00CC5581">
            <w:pPr>
              <w:spacing w:before="240"/>
              <w:rPr>
                <w:rFonts w:ascii="Arial" w:hAnsi="Arial"/>
                <w:sz w:val="24"/>
              </w:rPr>
            </w:pPr>
            <w:r>
              <w:rPr>
                <w:rFonts w:ascii="Arial" w:hAnsi="Arial"/>
                <w:sz w:val="24"/>
              </w:rPr>
              <w:t>6, 24</w:t>
            </w:r>
          </w:p>
        </w:tc>
        <w:tc>
          <w:tcPr>
            <w:tcW w:w="1417" w:type="dxa"/>
            <w:hideMark/>
          </w:tcPr>
          <w:p w:rsidR="00CC5581" w:rsidRDefault="00CC5581">
            <w:pPr>
              <w:spacing w:before="240"/>
              <w:rPr>
                <w:rFonts w:ascii="Arial" w:hAnsi="Arial"/>
                <w:sz w:val="24"/>
              </w:rPr>
            </w:pPr>
            <w:r>
              <w:rPr>
                <w:rFonts w:ascii="Arial" w:hAnsi="Arial"/>
                <w:sz w:val="24"/>
              </w:rPr>
              <w:t>8, 9, 16, 17</w:t>
            </w:r>
          </w:p>
        </w:tc>
        <w:tc>
          <w:tcPr>
            <w:tcW w:w="1276" w:type="dxa"/>
            <w:hideMark/>
          </w:tcPr>
          <w:p w:rsidR="00CC5581" w:rsidRDefault="00CC5581">
            <w:pPr>
              <w:spacing w:before="240"/>
              <w:rPr>
                <w:rFonts w:ascii="Arial" w:hAnsi="Arial"/>
                <w:sz w:val="24"/>
              </w:rPr>
            </w:pPr>
            <w:r>
              <w:rPr>
                <w:rFonts w:ascii="Arial" w:hAnsi="Arial"/>
                <w:sz w:val="24"/>
              </w:rPr>
              <w:t>1, 3, 4</w:t>
            </w:r>
          </w:p>
        </w:tc>
      </w:tr>
      <w:tr w:rsidR="00CC5581" w:rsidTr="00CC5581">
        <w:tc>
          <w:tcPr>
            <w:tcW w:w="610" w:type="dxa"/>
            <w:hideMark/>
          </w:tcPr>
          <w:p w:rsidR="00CC5581" w:rsidRDefault="00CC5581">
            <w:pPr>
              <w:spacing w:before="240"/>
              <w:jc w:val="right"/>
              <w:rPr>
                <w:rFonts w:ascii="Arial" w:hAnsi="Arial"/>
                <w:sz w:val="24"/>
              </w:rPr>
            </w:pPr>
            <w:r>
              <w:rPr>
                <w:rFonts w:ascii="Arial" w:hAnsi="Arial"/>
                <w:sz w:val="24"/>
              </w:rPr>
              <w:t>7.</w:t>
            </w:r>
          </w:p>
        </w:tc>
        <w:tc>
          <w:tcPr>
            <w:tcW w:w="2617" w:type="dxa"/>
            <w:hideMark/>
          </w:tcPr>
          <w:p w:rsidR="00CC5581" w:rsidRDefault="00CC5581">
            <w:pPr>
              <w:spacing w:before="240"/>
              <w:rPr>
                <w:rFonts w:ascii="Arial" w:hAnsi="Arial"/>
                <w:sz w:val="24"/>
              </w:rPr>
            </w:pPr>
            <w:r>
              <w:rPr>
                <w:rFonts w:ascii="Arial" w:hAnsi="Arial"/>
                <w:sz w:val="24"/>
              </w:rPr>
              <w:t>Presentation and analysis.</w:t>
            </w:r>
          </w:p>
        </w:tc>
        <w:tc>
          <w:tcPr>
            <w:tcW w:w="1417" w:type="dxa"/>
            <w:hideMark/>
          </w:tcPr>
          <w:p w:rsidR="00CC5581" w:rsidRDefault="00CC5581">
            <w:pPr>
              <w:spacing w:before="240"/>
              <w:rPr>
                <w:rFonts w:ascii="Arial" w:hAnsi="Arial"/>
                <w:sz w:val="24"/>
              </w:rPr>
            </w:pPr>
            <w:r>
              <w:rPr>
                <w:rFonts w:ascii="Arial" w:hAnsi="Arial"/>
                <w:sz w:val="24"/>
              </w:rPr>
              <w:t>27</w:t>
            </w:r>
          </w:p>
        </w:tc>
        <w:tc>
          <w:tcPr>
            <w:tcW w:w="1418" w:type="dxa"/>
            <w:hideMark/>
          </w:tcPr>
          <w:p w:rsidR="00CC5581" w:rsidRDefault="00CC5581">
            <w:pPr>
              <w:spacing w:before="240"/>
              <w:rPr>
                <w:rFonts w:ascii="Arial" w:hAnsi="Arial"/>
                <w:sz w:val="24"/>
              </w:rPr>
            </w:pPr>
            <w:r>
              <w:rPr>
                <w:rFonts w:ascii="Arial" w:hAnsi="Arial"/>
                <w:sz w:val="24"/>
              </w:rPr>
              <w:t>25, 26, 27</w:t>
            </w:r>
          </w:p>
        </w:tc>
        <w:tc>
          <w:tcPr>
            <w:tcW w:w="1417" w:type="dxa"/>
            <w:hideMark/>
          </w:tcPr>
          <w:p w:rsidR="00CC5581" w:rsidRDefault="00CC5581">
            <w:pPr>
              <w:spacing w:before="240"/>
              <w:rPr>
                <w:rFonts w:ascii="Arial" w:hAnsi="Arial"/>
                <w:sz w:val="24"/>
              </w:rPr>
            </w:pPr>
            <w:r>
              <w:rPr>
                <w:rFonts w:ascii="Arial" w:hAnsi="Arial"/>
                <w:sz w:val="24"/>
              </w:rPr>
              <w:t>3, 8, 9, 17</w:t>
            </w:r>
          </w:p>
        </w:tc>
        <w:tc>
          <w:tcPr>
            <w:tcW w:w="1276" w:type="dxa"/>
            <w:hideMark/>
          </w:tcPr>
          <w:p w:rsidR="00CC5581" w:rsidRDefault="00CC5581">
            <w:pPr>
              <w:spacing w:before="240"/>
              <w:rPr>
                <w:rFonts w:ascii="Arial" w:hAnsi="Arial"/>
                <w:sz w:val="24"/>
              </w:rPr>
            </w:pPr>
            <w:r>
              <w:rPr>
                <w:rFonts w:ascii="Arial" w:hAnsi="Arial"/>
                <w:sz w:val="24"/>
              </w:rPr>
              <w:t>5</w:t>
            </w:r>
          </w:p>
        </w:tc>
      </w:tr>
    </w:tbl>
    <w:p w:rsidR="00CC5581" w:rsidRDefault="00CC5581" w:rsidP="00CC5581">
      <w:pPr>
        <w:pStyle w:val="Heading2"/>
        <w:numPr>
          <w:ilvl w:val="0"/>
          <w:numId w:val="0"/>
        </w:numPr>
        <w:tabs>
          <w:tab w:val="left" w:pos="720"/>
        </w:tabs>
        <w:jc w:val="left"/>
        <w:rPr>
          <w:b w:val="0"/>
          <w:highlight w:val="yellow"/>
        </w:rPr>
      </w:pPr>
      <w:r>
        <w:rPr>
          <w:b w:val="0"/>
          <w:highlight w:val="yellow"/>
        </w:rPr>
        <w:t xml:space="preserve"> </w:t>
      </w:r>
    </w:p>
    <w:p w:rsidR="00CC5581" w:rsidRDefault="00CC5581" w:rsidP="00CC5581">
      <w:pPr>
        <w:pStyle w:val="Heading2"/>
        <w:numPr>
          <w:ilvl w:val="0"/>
          <w:numId w:val="0"/>
        </w:numPr>
        <w:tabs>
          <w:tab w:val="left" w:pos="720"/>
        </w:tabs>
        <w:jc w:val="left"/>
        <w:rPr>
          <w:sz w:val="32"/>
          <w:szCs w:val="32"/>
        </w:rPr>
      </w:pPr>
      <w:r>
        <w:rPr>
          <w:b w:val="0"/>
          <w:highlight w:val="yellow"/>
        </w:rPr>
        <w:br w:type="page"/>
      </w:r>
      <w:r>
        <w:rPr>
          <w:sz w:val="32"/>
          <w:szCs w:val="32"/>
        </w:rPr>
        <w:lastRenderedPageBreak/>
        <w:t>ASSIGNMENT CHARACTERISTICS TABLE</w:t>
      </w:r>
    </w:p>
    <w:p w:rsidR="00CC5581" w:rsidRDefault="00CC5581" w:rsidP="00CC5581">
      <w:pPr>
        <w:pStyle w:val="Heading2"/>
        <w:numPr>
          <w:ilvl w:val="0"/>
          <w:numId w:val="0"/>
        </w:numPr>
        <w:tabs>
          <w:tab w:val="left" w:pos="720"/>
        </w:tabs>
        <w:jc w:val="left"/>
        <w:rPr>
          <w:sz w:val="32"/>
          <w:szCs w:val="32"/>
          <w:highlight w:val="yellow"/>
        </w:rPr>
      </w:pPr>
    </w:p>
    <w:tbl>
      <w:tblPr>
        <w:tblW w:w="0" w:type="auto"/>
        <w:tblInd w:w="108" w:type="dxa"/>
        <w:tblLayout w:type="fixed"/>
        <w:tblLook w:val="04A0" w:firstRow="1" w:lastRow="0" w:firstColumn="1" w:lastColumn="0" w:noHBand="0" w:noVBand="1"/>
      </w:tblPr>
      <w:tblGrid>
        <w:gridCol w:w="1257"/>
        <w:gridCol w:w="360"/>
        <w:gridCol w:w="4503"/>
        <w:gridCol w:w="1260"/>
        <w:gridCol w:w="1349"/>
      </w:tblGrid>
      <w:tr w:rsidR="00CC5581" w:rsidTr="00CC5581">
        <w:tc>
          <w:tcPr>
            <w:tcW w:w="1257" w:type="dxa"/>
            <w:tcBorders>
              <w:top w:val="nil"/>
              <w:left w:val="nil"/>
              <w:bottom w:val="single" w:sz="4" w:space="0" w:color="auto"/>
              <w:right w:val="nil"/>
            </w:tcBorders>
            <w:hideMark/>
          </w:tcPr>
          <w:p w:rsidR="00CC5581" w:rsidRDefault="00CC5581">
            <w:pPr>
              <w:pStyle w:val="Heading2"/>
              <w:numPr>
                <w:ilvl w:val="0"/>
                <w:numId w:val="0"/>
              </w:numPr>
              <w:tabs>
                <w:tab w:val="left" w:pos="720"/>
              </w:tabs>
              <w:spacing w:after="60"/>
              <w:jc w:val="left"/>
            </w:pPr>
            <w:r>
              <w:br/>
              <w:t>Item</w:t>
            </w:r>
          </w:p>
        </w:tc>
        <w:tc>
          <w:tcPr>
            <w:tcW w:w="360" w:type="dxa"/>
            <w:tcBorders>
              <w:top w:val="nil"/>
              <w:left w:val="nil"/>
              <w:bottom w:val="single" w:sz="4" w:space="0" w:color="auto"/>
              <w:right w:val="nil"/>
            </w:tcBorders>
          </w:tcPr>
          <w:p w:rsidR="00CC5581" w:rsidRDefault="00CC5581">
            <w:pPr>
              <w:pStyle w:val="Heading2"/>
              <w:numPr>
                <w:ilvl w:val="0"/>
                <w:numId w:val="0"/>
              </w:numPr>
              <w:tabs>
                <w:tab w:val="left" w:pos="720"/>
              </w:tabs>
              <w:spacing w:after="60"/>
              <w:jc w:val="left"/>
            </w:pPr>
          </w:p>
        </w:tc>
        <w:tc>
          <w:tcPr>
            <w:tcW w:w="4503" w:type="dxa"/>
            <w:tcBorders>
              <w:top w:val="nil"/>
              <w:left w:val="nil"/>
              <w:bottom w:val="single" w:sz="4" w:space="0" w:color="auto"/>
              <w:right w:val="nil"/>
            </w:tcBorders>
            <w:hideMark/>
          </w:tcPr>
          <w:p w:rsidR="00CC5581" w:rsidRDefault="00CC5581">
            <w:pPr>
              <w:pStyle w:val="Heading2"/>
              <w:numPr>
                <w:ilvl w:val="0"/>
                <w:numId w:val="0"/>
              </w:numPr>
              <w:tabs>
                <w:tab w:val="left" w:pos="720"/>
              </w:tabs>
              <w:spacing w:after="60"/>
              <w:jc w:val="left"/>
            </w:pPr>
            <w:r>
              <w:br/>
              <w:t>Description</w:t>
            </w:r>
          </w:p>
        </w:tc>
        <w:tc>
          <w:tcPr>
            <w:tcW w:w="1260" w:type="dxa"/>
            <w:tcBorders>
              <w:top w:val="nil"/>
              <w:left w:val="nil"/>
              <w:bottom w:val="single" w:sz="4" w:space="0" w:color="auto"/>
              <w:right w:val="nil"/>
            </w:tcBorders>
            <w:hideMark/>
          </w:tcPr>
          <w:p w:rsidR="00CC5581" w:rsidRDefault="00CC5581">
            <w:pPr>
              <w:pStyle w:val="Heading2"/>
              <w:numPr>
                <w:ilvl w:val="0"/>
                <w:numId w:val="0"/>
              </w:numPr>
              <w:tabs>
                <w:tab w:val="left" w:pos="720"/>
              </w:tabs>
              <w:spacing w:after="60"/>
            </w:pPr>
            <w:r>
              <w:t>Level of Difficulty</w:t>
            </w:r>
          </w:p>
        </w:tc>
        <w:tc>
          <w:tcPr>
            <w:tcW w:w="1349" w:type="dxa"/>
            <w:tcBorders>
              <w:top w:val="nil"/>
              <w:left w:val="nil"/>
              <w:bottom w:val="single" w:sz="4" w:space="0" w:color="auto"/>
              <w:right w:val="nil"/>
            </w:tcBorders>
            <w:hideMark/>
          </w:tcPr>
          <w:p w:rsidR="00CC5581" w:rsidRDefault="00CC5581">
            <w:pPr>
              <w:pStyle w:val="Heading2"/>
              <w:numPr>
                <w:ilvl w:val="0"/>
                <w:numId w:val="0"/>
              </w:numPr>
              <w:tabs>
                <w:tab w:val="left" w:pos="720"/>
              </w:tabs>
              <w:spacing w:after="60"/>
            </w:pPr>
            <w:r>
              <w:t xml:space="preserve">Time </w:t>
            </w:r>
            <w:r>
              <w:br/>
              <w:t>(minutes)</w:t>
            </w:r>
          </w:p>
        </w:tc>
      </w:tr>
      <w:tr w:rsidR="00CC5581" w:rsidTr="00CC5581">
        <w:tc>
          <w:tcPr>
            <w:tcW w:w="1257" w:type="dxa"/>
            <w:hideMark/>
          </w:tcPr>
          <w:p w:rsidR="00CC5581" w:rsidRDefault="00CC5581">
            <w:pPr>
              <w:pStyle w:val="Heading2"/>
              <w:numPr>
                <w:ilvl w:val="0"/>
                <w:numId w:val="0"/>
              </w:numPr>
              <w:tabs>
                <w:tab w:val="left" w:pos="720"/>
              </w:tabs>
              <w:spacing w:before="240"/>
              <w:jc w:val="left"/>
              <w:rPr>
                <w:b w:val="0"/>
              </w:rPr>
            </w:pPr>
            <w:r>
              <w:rPr>
                <w:b w:val="0"/>
              </w:rPr>
              <w:t xml:space="preserve">  E13-1</w:t>
            </w:r>
          </w:p>
        </w:tc>
        <w:tc>
          <w:tcPr>
            <w:tcW w:w="360" w:type="dxa"/>
          </w:tcPr>
          <w:p w:rsidR="00CC5581" w:rsidRDefault="00CC5581">
            <w:pPr>
              <w:pStyle w:val="Heading2"/>
              <w:numPr>
                <w:ilvl w:val="0"/>
                <w:numId w:val="0"/>
              </w:numPr>
              <w:tabs>
                <w:tab w:val="left" w:pos="720"/>
              </w:tabs>
              <w:spacing w:before="240"/>
              <w:jc w:val="left"/>
              <w:rPr>
                <w:b w:val="0"/>
              </w:rPr>
            </w:pPr>
          </w:p>
        </w:tc>
        <w:tc>
          <w:tcPr>
            <w:tcW w:w="4503" w:type="dxa"/>
            <w:hideMark/>
          </w:tcPr>
          <w:p w:rsidR="00CC5581" w:rsidRDefault="00CC5581">
            <w:pPr>
              <w:pStyle w:val="Heading2"/>
              <w:numPr>
                <w:ilvl w:val="0"/>
                <w:numId w:val="0"/>
              </w:numPr>
              <w:tabs>
                <w:tab w:val="left" w:pos="720"/>
              </w:tabs>
              <w:spacing w:before="240"/>
              <w:jc w:val="left"/>
              <w:rPr>
                <w:b w:val="0"/>
              </w:rPr>
            </w:pPr>
            <w:r>
              <w:rPr>
                <w:b w:val="0"/>
              </w:rPr>
              <w:t>Balance sheet classification of various liabilities.</w:t>
            </w:r>
          </w:p>
        </w:tc>
        <w:tc>
          <w:tcPr>
            <w:tcW w:w="1260" w:type="dxa"/>
            <w:hideMark/>
          </w:tcPr>
          <w:p w:rsidR="00CC5581" w:rsidRDefault="00CC5581">
            <w:pPr>
              <w:pStyle w:val="Heading2"/>
              <w:numPr>
                <w:ilvl w:val="0"/>
                <w:numId w:val="0"/>
              </w:numPr>
              <w:tabs>
                <w:tab w:val="left" w:pos="720"/>
              </w:tabs>
              <w:spacing w:before="240"/>
              <w:rPr>
                <w:b w:val="0"/>
              </w:rPr>
            </w:pPr>
            <w:r>
              <w:rPr>
                <w:b w:val="0"/>
              </w:rPr>
              <w:t>Simple</w:t>
            </w:r>
          </w:p>
        </w:tc>
        <w:tc>
          <w:tcPr>
            <w:tcW w:w="1349" w:type="dxa"/>
            <w:hideMark/>
          </w:tcPr>
          <w:p w:rsidR="00CC5581" w:rsidRDefault="00CC5581">
            <w:pPr>
              <w:spacing w:before="240"/>
              <w:jc w:val="center"/>
              <w:rPr>
                <w:rFonts w:ascii="Arial" w:hAnsi="Arial"/>
                <w:sz w:val="24"/>
              </w:rPr>
            </w:pPr>
            <w:r>
              <w:rPr>
                <w:rFonts w:ascii="Arial" w:hAnsi="Arial"/>
                <w:sz w:val="24"/>
              </w:rPr>
              <w:t>10-15</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E13-2</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Accounts and notes payable.</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20-25</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E13-3</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Liability for returnable containers.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15-20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E13-4</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Entries for sales tax.</w:t>
            </w:r>
          </w:p>
        </w:tc>
        <w:tc>
          <w:tcPr>
            <w:tcW w:w="1260" w:type="dxa"/>
            <w:hideMark/>
          </w:tcPr>
          <w:p w:rsidR="00CC5581" w:rsidRDefault="00CC5581">
            <w:pPr>
              <w:pStyle w:val="Heading2"/>
              <w:numPr>
                <w:ilvl w:val="0"/>
                <w:numId w:val="0"/>
              </w:numPr>
              <w:tabs>
                <w:tab w:val="left" w:pos="720"/>
              </w:tabs>
              <w:rPr>
                <w:b w:val="0"/>
              </w:rPr>
            </w:pPr>
            <w:r>
              <w:rPr>
                <w:b w:val="0"/>
              </w:rPr>
              <w:t>Simple</w:t>
            </w:r>
          </w:p>
        </w:tc>
        <w:tc>
          <w:tcPr>
            <w:tcW w:w="1349" w:type="dxa"/>
            <w:hideMark/>
          </w:tcPr>
          <w:p w:rsidR="00CC5581" w:rsidRDefault="00CC5581">
            <w:pPr>
              <w:pStyle w:val="Heading2"/>
              <w:numPr>
                <w:ilvl w:val="0"/>
                <w:numId w:val="0"/>
              </w:numPr>
              <w:tabs>
                <w:tab w:val="left" w:pos="720"/>
              </w:tabs>
              <w:rPr>
                <w:b w:val="0"/>
              </w:rPr>
            </w:pPr>
            <w:r>
              <w:rPr>
                <w:b w:val="0"/>
              </w:rPr>
              <w:t>20-30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E13-5</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Income Tax.</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15-20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E13-6</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Financial statement impact of liability transactions.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30-35</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E13-7</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Refinancing of short-term debt.</w:t>
            </w:r>
          </w:p>
        </w:tc>
        <w:tc>
          <w:tcPr>
            <w:tcW w:w="1260" w:type="dxa"/>
            <w:hideMark/>
          </w:tcPr>
          <w:p w:rsidR="00CC5581" w:rsidRDefault="00CC5581">
            <w:pPr>
              <w:pStyle w:val="Heading2"/>
              <w:numPr>
                <w:ilvl w:val="0"/>
                <w:numId w:val="0"/>
              </w:numPr>
              <w:tabs>
                <w:tab w:val="left" w:pos="720"/>
              </w:tabs>
              <w:rPr>
                <w:b w:val="0"/>
              </w:rPr>
            </w:pPr>
            <w:r>
              <w:rPr>
                <w:b w:val="0"/>
              </w:rPr>
              <w:t>Simple</w:t>
            </w:r>
          </w:p>
        </w:tc>
        <w:tc>
          <w:tcPr>
            <w:tcW w:w="1349" w:type="dxa"/>
            <w:hideMark/>
          </w:tcPr>
          <w:p w:rsidR="00CC5581" w:rsidRDefault="00CC5581">
            <w:pPr>
              <w:pStyle w:val="Heading2"/>
              <w:numPr>
                <w:ilvl w:val="0"/>
                <w:numId w:val="0"/>
              </w:numPr>
              <w:tabs>
                <w:tab w:val="left" w:pos="720"/>
              </w:tabs>
              <w:rPr>
                <w:b w:val="0"/>
              </w:rPr>
            </w:pPr>
            <w:r>
              <w:rPr>
                <w:b w:val="0"/>
              </w:rPr>
              <w:t>10-12</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E13-8</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Refinancing of short-term debt.</w:t>
            </w:r>
          </w:p>
        </w:tc>
        <w:tc>
          <w:tcPr>
            <w:tcW w:w="1260" w:type="dxa"/>
            <w:hideMark/>
          </w:tcPr>
          <w:p w:rsidR="00CC5581" w:rsidRDefault="00CC5581">
            <w:pPr>
              <w:pStyle w:val="Heading2"/>
              <w:numPr>
                <w:ilvl w:val="0"/>
                <w:numId w:val="0"/>
              </w:numPr>
              <w:tabs>
                <w:tab w:val="left" w:pos="720"/>
              </w:tabs>
              <w:rPr>
                <w:b w:val="0"/>
              </w:rPr>
            </w:pPr>
            <w:r>
              <w:rPr>
                <w:b w:val="0"/>
              </w:rPr>
              <w:t>Simple</w:t>
            </w:r>
          </w:p>
        </w:tc>
        <w:tc>
          <w:tcPr>
            <w:tcW w:w="1349" w:type="dxa"/>
            <w:hideMark/>
          </w:tcPr>
          <w:p w:rsidR="00CC5581" w:rsidRDefault="00CC5581">
            <w:pPr>
              <w:pStyle w:val="Heading2"/>
              <w:numPr>
                <w:ilvl w:val="0"/>
                <w:numId w:val="0"/>
              </w:numPr>
              <w:tabs>
                <w:tab w:val="left" w:pos="720"/>
              </w:tabs>
              <w:rPr>
                <w:b w:val="0"/>
              </w:rPr>
            </w:pPr>
            <w:r>
              <w:rPr>
                <w:b w:val="0"/>
              </w:rPr>
              <w:t>10-15</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E13-9</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Payroll tax entries.</w:t>
            </w:r>
          </w:p>
        </w:tc>
        <w:tc>
          <w:tcPr>
            <w:tcW w:w="1260" w:type="dxa"/>
            <w:hideMark/>
          </w:tcPr>
          <w:p w:rsidR="00CC5581" w:rsidRDefault="00CC5581">
            <w:pPr>
              <w:pStyle w:val="Heading2"/>
              <w:numPr>
                <w:ilvl w:val="0"/>
                <w:numId w:val="0"/>
              </w:numPr>
              <w:tabs>
                <w:tab w:val="left" w:pos="720"/>
              </w:tabs>
              <w:rPr>
                <w:b w:val="0"/>
              </w:rPr>
            </w:pPr>
            <w:r>
              <w:rPr>
                <w:b w:val="0"/>
              </w:rPr>
              <w:t>Simple</w:t>
            </w:r>
          </w:p>
        </w:tc>
        <w:tc>
          <w:tcPr>
            <w:tcW w:w="1349" w:type="dxa"/>
            <w:hideMark/>
          </w:tcPr>
          <w:p w:rsidR="00CC5581" w:rsidRDefault="00CC5581">
            <w:pPr>
              <w:pStyle w:val="Heading2"/>
              <w:numPr>
                <w:ilvl w:val="0"/>
                <w:numId w:val="0"/>
              </w:numPr>
              <w:tabs>
                <w:tab w:val="left" w:pos="720"/>
              </w:tabs>
              <w:rPr>
                <w:b w:val="0"/>
              </w:rPr>
            </w:pPr>
            <w:r>
              <w:rPr>
                <w:b w:val="0"/>
              </w:rPr>
              <w:t>15-20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E13-10</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rPr>
                <w:rFonts w:ascii="Arial" w:hAnsi="Arial"/>
                <w:sz w:val="24"/>
              </w:rPr>
            </w:pPr>
            <w:r>
              <w:rPr>
                <w:rFonts w:ascii="Arial" w:hAnsi="Arial"/>
                <w:sz w:val="24"/>
              </w:rPr>
              <w:t>Compensated absences – vacation and sick pay.</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25-30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E13-11</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rPr>
                <w:rFonts w:ascii="Arial" w:hAnsi="Arial"/>
                <w:sz w:val="24"/>
              </w:rPr>
            </w:pPr>
            <w:r>
              <w:rPr>
                <w:rFonts w:ascii="Arial" w:hAnsi="Arial"/>
                <w:sz w:val="24"/>
              </w:rPr>
              <w:t>Compensated absences – vacation and sick pay.</w:t>
            </w:r>
          </w:p>
        </w:tc>
        <w:tc>
          <w:tcPr>
            <w:tcW w:w="1260" w:type="dxa"/>
            <w:hideMark/>
          </w:tcPr>
          <w:p w:rsidR="00CC5581" w:rsidRDefault="00CC5581">
            <w:pPr>
              <w:pStyle w:val="Heading2"/>
              <w:numPr>
                <w:ilvl w:val="0"/>
                <w:numId w:val="0"/>
              </w:numPr>
              <w:tabs>
                <w:tab w:val="left" w:pos="720"/>
              </w:tabs>
              <w:jc w:val="left"/>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25-30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E13-12</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bCs/>
              </w:rPr>
            </w:pPr>
            <w:r>
              <w:rPr>
                <w:b w:val="0"/>
                <w:bCs/>
              </w:rPr>
              <w:t>Compensated absences – parental benefits.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25-30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E13-13</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pPr>
            <w:r>
              <w:rPr>
                <w:b w:val="0"/>
              </w:rPr>
              <w:t>Bonus calculation and income statement preparation.</w:t>
            </w:r>
          </w:p>
        </w:tc>
        <w:tc>
          <w:tcPr>
            <w:tcW w:w="1260" w:type="dxa"/>
            <w:hideMark/>
          </w:tcPr>
          <w:p w:rsidR="00CC5581" w:rsidRDefault="00CC5581">
            <w:pPr>
              <w:pStyle w:val="Heading2"/>
              <w:numPr>
                <w:ilvl w:val="0"/>
                <w:numId w:val="0"/>
              </w:numPr>
              <w:tabs>
                <w:tab w:val="left" w:pos="720"/>
              </w:tabs>
              <w:rPr>
                <w:b w:val="0"/>
              </w:rPr>
            </w:pPr>
            <w:r>
              <w:rPr>
                <w:b w:val="0"/>
              </w:rPr>
              <w:t>Complex</w:t>
            </w:r>
          </w:p>
        </w:tc>
        <w:tc>
          <w:tcPr>
            <w:tcW w:w="1349" w:type="dxa"/>
            <w:hideMark/>
          </w:tcPr>
          <w:p w:rsidR="00CC5581" w:rsidRDefault="00CC5581">
            <w:pPr>
              <w:pStyle w:val="Heading2"/>
              <w:numPr>
                <w:ilvl w:val="0"/>
                <w:numId w:val="0"/>
              </w:numPr>
              <w:tabs>
                <w:tab w:val="left" w:pos="720"/>
              </w:tabs>
              <w:rPr>
                <w:b w:val="0"/>
              </w:rPr>
            </w:pPr>
            <w:r>
              <w:rPr>
                <w:b w:val="0"/>
              </w:rPr>
              <w:t>15-20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E13-14</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Asset retirement obligation.</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20-25</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E13-15</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Asset retirement obligation.</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25-35</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E13-16</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Warranties – expense approach and cash basis.</w:t>
            </w:r>
          </w:p>
        </w:tc>
        <w:tc>
          <w:tcPr>
            <w:tcW w:w="1260" w:type="dxa"/>
            <w:hideMark/>
          </w:tcPr>
          <w:p w:rsidR="00CC5581" w:rsidRDefault="00CC5581">
            <w:pPr>
              <w:pStyle w:val="Heading2"/>
              <w:numPr>
                <w:ilvl w:val="0"/>
                <w:numId w:val="0"/>
              </w:numPr>
              <w:tabs>
                <w:tab w:val="left" w:pos="720"/>
              </w:tabs>
              <w:rPr>
                <w:b w:val="0"/>
              </w:rPr>
            </w:pPr>
            <w:r>
              <w:rPr>
                <w:b w:val="0"/>
              </w:rPr>
              <w:t>Simple</w:t>
            </w:r>
          </w:p>
        </w:tc>
        <w:tc>
          <w:tcPr>
            <w:tcW w:w="1349" w:type="dxa"/>
            <w:hideMark/>
          </w:tcPr>
          <w:p w:rsidR="00CC5581" w:rsidRDefault="00CC5581">
            <w:pPr>
              <w:pStyle w:val="Heading2"/>
              <w:numPr>
                <w:ilvl w:val="0"/>
                <w:numId w:val="0"/>
              </w:numPr>
              <w:tabs>
                <w:tab w:val="left" w:pos="720"/>
              </w:tabs>
              <w:rPr>
                <w:b w:val="0"/>
              </w:rPr>
            </w:pPr>
            <w:r>
              <w:rPr>
                <w:b w:val="0"/>
              </w:rPr>
              <w:t>10-15</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E13-17</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Warranties – expense approach.</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15-20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E13-18</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Warranties – expense approach and revenue approach.</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20-25</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E13-19</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Warranties – expense approach and revenue approach.</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15-20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E13-20</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Premiums.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15-20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E13-21</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Premiums.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20-30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E13-22</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Premiums.</w:t>
            </w:r>
          </w:p>
        </w:tc>
        <w:tc>
          <w:tcPr>
            <w:tcW w:w="1260" w:type="dxa"/>
            <w:hideMark/>
          </w:tcPr>
          <w:p w:rsidR="00CC5581" w:rsidRDefault="00CC5581">
            <w:pPr>
              <w:pStyle w:val="Heading2"/>
              <w:numPr>
                <w:ilvl w:val="0"/>
                <w:numId w:val="0"/>
              </w:numPr>
              <w:tabs>
                <w:tab w:val="left" w:pos="720"/>
              </w:tabs>
              <w:rPr>
                <w:b w:val="0"/>
              </w:rPr>
            </w:pPr>
            <w:r>
              <w:rPr>
                <w:b w:val="0"/>
              </w:rPr>
              <w:t>Simple</w:t>
            </w:r>
          </w:p>
        </w:tc>
        <w:tc>
          <w:tcPr>
            <w:tcW w:w="1349" w:type="dxa"/>
            <w:hideMark/>
          </w:tcPr>
          <w:p w:rsidR="00CC5581" w:rsidRDefault="00CC5581">
            <w:pPr>
              <w:pStyle w:val="Heading2"/>
              <w:numPr>
                <w:ilvl w:val="0"/>
                <w:numId w:val="0"/>
              </w:numPr>
              <w:tabs>
                <w:tab w:val="left" w:pos="720"/>
              </w:tabs>
              <w:rPr>
                <w:b w:val="0"/>
              </w:rPr>
            </w:pPr>
            <w:r>
              <w:rPr>
                <w:b w:val="0"/>
              </w:rPr>
              <w:t>10-15</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E13-23</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Coupons and rebates.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15-20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E13-24</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Contingencies and commitments.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20-30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E13-25</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Ratio calculations and discussion.</w:t>
            </w:r>
          </w:p>
        </w:tc>
        <w:tc>
          <w:tcPr>
            <w:tcW w:w="1260" w:type="dxa"/>
            <w:hideMark/>
          </w:tcPr>
          <w:p w:rsidR="00CC5581" w:rsidRDefault="00CC5581">
            <w:pPr>
              <w:pStyle w:val="Heading2"/>
              <w:numPr>
                <w:ilvl w:val="0"/>
                <w:numId w:val="0"/>
              </w:numPr>
              <w:tabs>
                <w:tab w:val="left" w:pos="720"/>
              </w:tabs>
              <w:rPr>
                <w:b w:val="0"/>
              </w:rPr>
            </w:pPr>
            <w:r>
              <w:rPr>
                <w:b w:val="0"/>
              </w:rPr>
              <w:t>Simple</w:t>
            </w:r>
          </w:p>
        </w:tc>
        <w:tc>
          <w:tcPr>
            <w:tcW w:w="1349" w:type="dxa"/>
            <w:hideMark/>
          </w:tcPr>
          <w:p w:rsidR="00CC5581" w:rsidRDefault="00CC5581">
            <w:pPr>
              <w:pStyle w:val="Heading2"/>
              <w:numPr>
                <w:ilvl w:val="0"/>
                <w:numId w:val="0"/>
              </w:numPr>
              <w:tabs>
                <w:tab w:val="left" w:pos="720"/>
              </w:tabs>
              <w:rPr>
                <w:b w:val="0"/>
              </w:rPr>
            </w:pPr>
            <w:r>
              <w:rPr>
                <w:b w:val="0"/>
              </w:rPr>
              <w:t>15-20</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E13-26</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Ratio calculations and analysis.</w:t>
            </w:r>
          </w:p>
        </w:tc>
        <w:tc>
          <w:tcPr>
            <w:tcW w:w="1260" w:type="dxa"/>
            <w:hideMark/>
          </w:tcPr>
          <w:p w:rsidR="00CC5581" w:rsidRDefault="00CC5581">
            <w:pPr>
              <w:pStyle w:val="Heading2"/>
              <w:numPr>
                <w:ilvl w:val="0"/>
                <w:numId w:val="0"/>
              </w:numPr>
              <w:tabs>
                <w:tab w:val="left" w:pos="720"/>
              </w:tabs>
              <w:rPr>
                <w:b w:val="0"/>
              </w:rPr>
            </w:pPr>
            <w:r>
              <w:rPr>
                <w:b w:val="0"/>
              </w:rPr>
              <w:t>Simple</w:t>
            </w:r>
          </w:p>
        </w:tc>
        <w:tc>
          <w:tcPr>
            <w:tcW w:w="1349" w:type="dxa"/>
            <w:hideMark/>
          </w:tcPr>
          <w:p w:rsidR="00CC5581" w:rsidRDefault="00CC5581">
            <w:pPr>
              <w:pStyle w:val="Heading2"/>
              <w:numPr>
                <w:ilvl w:val="0"/>
                <w:numId w:val="0"/>
              </w:numPr>
              <w:tabs>
                <w:tab w:val="left" w:pos="720"/>
              </w:tabs>
              <w:rPr>
                <w:b w:val="0"/>
              </w:rPr>
            </w:pPr>
            <w:r>
              <w:rPr>
                <w:b w:val="0"/>
              </w:rPr>
              <w:t>20-25</w:t>
            </w:r>
          </w:p>
        </w:tc>
      </w:tr>
      <w:tr w:rsidR="00CC5581" w:rsidTr="00CC5581">
        <w:tc>
          <w:tcPr>
            <w:tcW w:w="1257" w:type="dxa"/>
            <w:hideMark/>
          </w:tcPr>
          <w:p w:rsidR="00CC5581" w:rsidRDefault="00CC5581">
            <w:pPr>
              <w:pStyle w:val="Heading2"/>
              <w:numPr>
                <w:ilvl w:val="0"/>
                <w:numId w:val="0"/>
              </w:numPr>
              <w:tabs>
                <w:tab w:val="left" w:pos="720"/>
              </w:tabs>
              <w:jc w:val="left"/>
              <w:rPr>
                <w:b w:val="0"/>
              </w:rPr>
            </w:pPr>
            <w:r>
              <w:rPr>
                <w:b w:val="0"/>
              </w:rPr>
              <w:t xml:space="preserve">  E13-27</w:t>
            </w:r>
          </w:p>
        </w:tc>
        <w:tc>
          <w:tcPr>
            <w:tcW w:w="360" w:type="dxa"/>
          </w:tcPr>
          <w:p w:rsidR="00CC5581" w:rsidRDefault="00CC5581">
            <w:pPr>
              <w:pStyle w:val="Heading2"/>
              <w:numPr>
                <w:ilvl w:val="0"/>
                <w:numId w:val="0"/>
              </w:numPr>
              <w:tabs>
                <w:tab w:val="left" w:pos="720"/>
              </w:tabs>
              <w:jc w:val="left"/>
              <w:rPr>
                <w:b w:val="0"/>
              </w:rPr>
            </w:pPr>
          </w:p>
        </w:tc>
        <w:tc>
          <w:tcPr>
            <w:tcW w:w="4503" w:type="dxa"/>
            <w:hideMark/>
          </w:tcPr>
          <w:p w:rsidR="00CC5581" w:rsidRDefault="00CC5581">
            <w:pPr>
              <w:pStyle w:val="Heading2"/>
              <w:numPr>
                <w:ilvl w:val="0"/>
                <w:numId w:val="0"/>
              </w:numPr>
              <w:tabs>
                <w:tab w:val="left" w:pos="720"/>
              </w:tabs>
              <w:jc w:val="left"/>
              <w:rPr>
                <w:b w:val="0"/>
              </w:rPr>
            </w:pPr>
            <w:r>
              <w:rPr>
                <w:b w:val="0"/>
              </w:rPr>
              <w:t>Ratio calculations and effect of transactions.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49" w:type="dxa"/>
            <w:hideMark/>
          </w:tcPr>
          <w:p w:rsidR="00CC5581" w:rsidRDefault="00CC5581">
            <w:pPr>
              <w:pStyle w:val="Heading2"/>
              <w:numPr>
                <w:ilvl w:val="0"/>
                <w:numId w:val="0"/>
              </w:numPr>
              <w:tabs>
                <w:tab w:val="left" w:pos="720"/>
              </w:tabs>
              <w:rPr>
                <w:b w:val="0"/>
              </w:rPr>
            </w:pPr>
            <w:r>
              <w:rPr>
                <w:b w:val="0"/>
              </w:rPr>
              <w:t>15-25</w:t>
            </w:r>
          </w:p>
        </w:tc>
      </w:tr>
    </w:tbl>
    <w:p w:rsidR="00CC5581" w:rsidRDefault="00CC5581" w:rsidP="00CC5581">
      <w:pPr>
        <w:rPr>
          <w:rFonts w:ascii="Arial" w:hAnsi="Arial"/>
          <w:b/>
          <w:sz w:val="32"/>
          <w:szCs w:val="32"/>
        </w:rPr>
      </w:pPr>
      <w:r>
        <w:rPr>
          <w:b/>
          <w:highlight w:val="yellow"/>
        </w:rPr>
        <w:br w:type="page"/>
      </w:r>
      <w:r>
        <w:rPr>
          <w:rFonts w:ascii="Arial" w:hAnsi="Arial"/>
          <w:b/>
          <w:sz w:val="32"/>
          <w:szCs w:val="32"/>
        </w:rPr>
        <w:lastRenderedPageBreak/>
        <w:t>ASSIGNMENT CHARACTERISTICS TABLE (Continued)</w:t>
      </w:r>
    </w:p>
    <w:p w:rsidR="00CC5581" w:rsidRDefault="00CC5581" w:rsidP="00CC5581">
      <w:pPr>
        <w:rPr>
          <w:rFonts w:ascii="Arial" w:hAnsi="Arial"/>
          <w:sz w:val="24"/>
        </w:rPr>
      </w:pPr>
    </w:p>
    <w:tbl>
      <w:tblPr>
        <w:tblW w:w="0" w:type="auto"/>
        <w:tblInd w:w="108" w:type="dxa"/>
        <w:tblLayout w:type="fixed"/>
        <w:tblLook w:val="04A0" w:firstRow="1" w:lastRow="0" w:firstColumn="1" w:lastColumn="0" w:noHBand="0" w:noVBand="1"/>
      </w:tblPr>
      <w:tblGrid>
        <w:gridCol w:w="1260"/>
        <w:gridCol w:w="360"/>
        <w:gridCol w:w="4500"/>
        <w:gridCol w:w="1260"/>
        <w:gridCol w:w="1350"/>
      </w:tblGrid>
      <w:tr w:rsidR="00CC5581" w:rsidTr="00CC5581">
        <w:tc>
          <w:tcPr>
            <w:tcW w:w="1260" w:type="dxa"/>
            <w:tcBorders>
              <w:top w:val="nil"/>
              <w:left w:val="nil"/>
              <w:bottom w:val="single" w:sz="4" w:space="0" w:color="auto"/>
              <w:right w:val="nil"/>
            </w:tcBorders>
            <w:hideMark/>
          </w:tcPr>
          <w:p w:rsidR="00CC5581" w:rsidRDefault="00CC5581">
            <w:pPr>
              <w:pStyle w:val="Heading2"/>
              <w:numPr>
                <w:ilvl w:val="0"/>
                <w:numId w:val="0"/>
              </w:numPr>
              <w:tabs>
                <w:tab w:val="left" w:pos="720"/>
              </w:tabs>
              <w:spacing w:after="60"/>
              <w:jc w:val="left"/>
            </w:pPr>
            <w:r>
              <w:br/>
              <w:t>Item</w:t>
            </w:r>
          </w:p>
        </w:tc>
        <w:tc>
          <w:tcPr>
            <w:tcW w:w="360" w:type="dxa"/>
            <w:tcBorders>
              <w:top w:val="nil"/>
              <w:left w:val="nil"/>
              <w:bottom w:val="single" w:sz="4" w:space="0" w:color="auto"/>
              <w:right w:val="nil"/>
            </w:tcBorders>
          </w:tcPr>
          <w:p w:rsidR="00CC5581" w:rsidRDefault="00CC5581">
            <w:pPr>
              <w:pStyle w:val="Heading2"/>
              <w:numPr>
                <w:ilvl w:val="0"/>
                <w:numId w:val="0"/>
              </w:numPr>
              <w:tabs>
                <w:tab w:val="left" w:pos="720"/>
              </w:tabs>
              <w:spacing w:after="60"/>
              <w:jc w:val="left"/>
            </w:pPr>
          </w:p>
        </w:tc>
        <w:tc>
          <w:tcPr>
            <w:tcW w:w="4500" w:type="dxa"/>
            <w:tcBorders>
              <w:top w:val="nil"/>
              <w:left w:val="nil"/>
              <w:bottom w:val="single" w:sz="4" w:space="0" w:color="auto"/>
              <w:right w:val="nil"/>
            </w:tcBorders>
            <w:hideMark/>
          </w:tcPr>
          <w:p w:rsidR="00CC5581" w:rsidRDefault="00CC5581">
            <w:pPr>
              <w:pStyle w:val="Heading2"/>
              <w:numPr>
                <w:ilvl w:val="0"/>
                <w:numId w:val="0"/>
              </w:numPr>
              <w:tabs>
                <w:tab w:val="left" w:pos="720"/>
              </w:tabs>
              <w:spacing w:after="60"/>
              <w:jc w:val="left"/>
            </w:pPr>
            <w:r>
              <w:br/>
              <w:t>Description</w:t>
            </w:r>
          </w:p>
        </w:tc>
        <w:tc>
          <w:tcPr>
            <w:tcW w:w="1260" w:type="dxa"/>
            <w:tcBorders>
              <w:top w:val="nil"/>
              <w:left w:val="nil"/>
              <w:bottom w:val="single" w:sz="4" w:space="0" w:color="auto"/>
              <w:right w:val="nil"/>
            </w:tcBorders>
            <w:hideMark/>
          </w:tcPr>
          <w:p w:rsidR="00CC5581" w:rsidRDefault="00CC5581">
            <w:pPr>
              <w:pStyle w:val="Heading2"/>
              <w:numPr>
                <w:ilvl w:val="0"/>
                <w:numId w:val="0"/>
              </w:numPr>
              <w:tabs>
                <w:tab w:val="left" w:pos="720"/>
              </w:tabs>
              <w:spacing w:after="60"/>
            </w:pPr>
            <w:r>
              <w:t>Level of Difficulty</w:t>
            </w:r>
          </w:p>
        </w:tc>
        <w:tc>
          <w:tcPr>
            <w:tcW w:w="1350" w:type="dxa"/>
            <w:tcBorders>
              <w:top w:val="nil"/>
              <w:left w:val="nil"/>
              <w:bottom w:val="single" w:sz="4" w:space="0" w:color="auto"/>
              <w:right w:val="nil"/>
            </w:tcBorders>
            <w:hideMark/>
          </w:tcPr>
          <w:p w:rsidR="00CC5581" w:rsidRDefault="00CC5581">
            <w:pPr>
              <w:pStyle w:val="Heading2"/>
              <w:numPr>
                <w:ilvl w:val="0"/>
                <w:numId w:val="0"/>
              </w:numPr>
              <w:tabs>
                <w:tab w:val="left" w:pos="720"/>
              </w:tabs>
              <w:spacing w:after="60"/>
            </w:pPr>
            <w:r>
              <w:t xml:space="preserve">Time </w:t>
            </w:r>
            <w:r>
              <w:br/>
              <w:t>(minutes)</w:t>
            </w:r>
          </w:p>
        </w:tc>
      </w:tr>
      <w:tr w:rsidR="00CC5581" w:rsidTr="00CC5581">
        <w:tc>
          <w:tcPr>
            <w:tcW w:w="1260" w:type="dxa"/>
          </w:tcPr>
          <w:p w:rsidR="00CC5581" w:rsidRDefault="00CC5581">
            <w:pPr>
              <w:pStyle w:val="Heading2"/>
              <w:numPr>
                <w:ilvl w:val="0"/>
                <w:numId w:val="0"/>
              </w:numPr>
              <w:tabs>
                <w:tab w:val="left" w:pos="720"/>
              </w:tabs>
              <w:jc w:val="left"/>
              <w:rPr>
                <w:b w:val="0"/>
              </w:rPr>
            </w:pPr>
          </w:p>
        </w:tc>
        <w:tc>
          <w:tcPr>
            <w:tcW w:w="360" w:type="dxa"/>
          </w:tcPr>
          <w:p w:rsidR="00CC5581" w:rsidRDefault="00CC5581">
            <w:pPr>
              <w:pStyle w:val="Heading2"/>
              <w:numPr>
                <w:ilvl w:val="0"/>
                <w:numId w:val="0"/>
              </w:numPr>
              <w:tabs>
                <w:tab w:val="left" w:pos="720"/>
              </w:tabs>
              <w:jc w:val="left"/>
              <w:rPr>
                <w:b w:val="0"/>
              </w:rPr>
            </w:pPr>
          </w:p>
        </w:tc>
        <w:tc>
          <w:tcPr>
            <w:tcW w:w="4500" w:type="dxa"/>
          </w:tcPr>
          <w:p w:rsidR="00CC5581" w:rsidRDefault="00CC5581">
            <w:pPr>
              <w:pStyle w:val="Heading2"/>
              <w:numPr>
                <w:ilvl w:val="0"/>
                <w:numId w:val="0"/>
              </w:numPr>
              <w:tabs>
                <w:tab w:val="left" w:pos="720"/>
              </w:tabs>
              <w:jc w:val="left"/>
              <w:rPr>
                <w:b w:val="0"/>
              </w:rPr>
            </w:pPr>
          </w:p>
        </w:tc>
        <w:tc>
          <w:tcPr>
            <w:tcW w:w="1260" w:type="dxa"/>
          </w:tcPr>
          <w:p w:rsidR="00CC5581" w:rsidRDefault="00CC5581">
            <w:pPr>
              <w:pStyle w:val="Heading2"/>
              <w:numPr>
                <w:ilvl w:val="0"/>
                <w:numId w:val="0"/>
              </w:numPr>
              <w:tabs>
                <w:tab w:val="left" w:pos="720"/>
              </w:tabs>
              <w:rPr>
                <w:b w:val="0"/>
              </w:rPr>
            </w:pPr>
          </w:p>
        </w:tc>
        <w:tc>
          <w:tcPr>
            <w:tcW w:w="1350" w:type="dxa"/>
          </w:tcPr>
          <w:p w:rsidR="00CC5581" w:rsidRDefault="00CC5581">
            <w:pPr>
              <w:pStyle w:val="Heading2"/>
              <w:numPr>
                <w:ilvl w:val="0"/>
                <w:numId w:val="0"/>
              </w:numPr>
              <w:tabs>
                <w:tab w:val="left" w:pos="720"/>
              </w:tabs>
              <w:rPr>
                <w:b w:val="0"/>
              </w:rPr>
            </w:pP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P13-1</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Current liability entries and adjustments.</w:t>
            </w:r>
          </w:p>
        </w:tc>
        <w:tc>
          <w:tcPr>
            <w:tcW w:w="1260" w:type="dxa"/>
            <w:hideMark/>
          </w:tcPr>
          <w:p w:rsidR="00CC5581" w:rsidRDefault="00CC5581">
            <w:pPr>
              <w:pStyle w:val="Heading2"/>
              <w:numPr>
                <w:ilvl w:val="0"/>
                <w:numId w:val="0"/>
              </w:numPr>
              <w:tabs>
                <w:tab w:val="left" w:pos="720"/>
              </w:tabs>
              <w:rPr>
                <w:b w:val="0"/>
              </w:rPr>
            </w:pPr>
            <w:r>
              <w:rPr>
                <w:b w:val="0"/>
              </w:rPr>
              <w:t>Simple</w:t>
            </w:r>
          </w:p>
        </w:tc>
        <w:tc>
          <w:tcPr>
            <w:tcW w:w="1350" w:type="dxa"/>
            <w:hideMark/>
          </w:tcPr>
          <w:p w:rsidR="00CC5581" w:rsidRDefault="00CC5581">
            <w:pPr>
              <w:pStyle w:val="Heading2"/>
              <w:numPr>
                <w:ilvl w:val="0"/>
                <w:numId w:val="0"/>
              </w:numPr>
              <w:tabs>
                <w:tab w:val="left" w:pos="720"/>
              </w:tabs>
              <w:rPr>
                <w:b w:val="0"/>
              </w:rPr>
            </w:pPr>
            <w:r>
              <w:rPr>
                <w:b w:val="0"/>
              </w:rPr>
              <w:t>40-50</w:t>
            </w:r>
          </w:p>
        </w:tc>
      </w:tr>
      <w:tr w:rsidR="00CC5581" w:rsidTr="00CC5581">
        <w:tc>
          <w:tcPr>
            <w:tcW w:w="1260" w:type="dxa"/>
            <w:hideMark/>
          </w:tcPr>
          <w:p w:rsidR="00CC5581" w:rsidRDefault="00CC5581">
            <w:pPr>
              <w:pStyle w:val="Heading2"/>
              <w:numPr>
                <w:ilvl w:val="0"/>
                <w:numId w:val="0"/>
              </w:numPr>
              <w:tabs>
                <w:tab w:val="left" w:pos="720"/>
              </w:tabs>
              <w:jc w:val="left"/>
              <w:rPr>
                <w:b w:val="0"/>
                <w:highlight w:val="yellow"/>
              </w:rPr>
            </w:pPr>
            <w:r>
              <w:rPr>
                <w:b w:val="0"/>
              </w:rPr>
              <w:t xml:space="preserve">  P13-2</w:t>
            </w:r>
          </w:p>
        </w:tc>
        <w:tc>
          <w:tcPr>
            <w:tcW w:w="360" w:type="dxa"/>
          </w:tcPr>
          <w:p w:rsidR="00CC5581" w:rsidRDefault="00CC5581">
            <w:pPr>
              <w:pStyle w:val="Heading2"/>
              <w:numPr>
                <w:ilvl w:val="0"/>
                <w:numId w:val="0"/>
              </w:numPr>
              <w:tabs>
                <w:tab w:val="left" w:pos="720"/>
              </w:tabs>
              <w:jc w:val="left"/>
              <w:rPr>
                <w:b w:val="0"/>
                <w:highlight w:val="yellow"/>
              </w:rPr>
            </w:pPr>
          </w:p>
        </w:tc>
        <w:tc>
          <w:tcPr>
            <w:tcW w:w="4500" w:type="dxa"/>
            <w:hideMark/>
          </w:tcPr>
          <w:p w:rsidR="00CC5581" w:rsidRDefault="00CC5581">
            <w:pPr>
              <w:pStyle w:val="Heading2"/>
              <w:numPr>
                <w:ilvl w:val="0"/>
                <w:numId w:val="0"/>
              </w:numPr>
              <w:tabs>
                <w:tab w:val="left" w:pos="720"/>
              </w:tabs>
              <w:jc w:val="left"/>
              <w:rPr>
                <w:b w:val="0"/>
              </w:rPr>
            </w:pPr>
            <w:r>
              <w:rPr>
                <w:b w:val="0"/>
              </w:rPr>
              <w:t>Instalment note.</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50" w:type="dxa"/>
            <w:hideMark/>
          </w:tcPr>
          <w:p w:rsidR="00CC5581" w:rsidRDefault="00CC5581">
            <w:pPr>
              <w:pStyle w:val="Heading2"/>
              <w:numPr>
                <w:ilvl w:val="0"/>
                <w:numId w:val="0"/>
              </w:numPr>
              <w:tabs>
                <w:tab w:val="left" w:pos="720"/>
              </w:tabs>
              <w:rPr>
                <w:b w:val="0"/>
              </w:rPr>
            </w:pPr>
            <w:r>
              <w:rPr>
                <w:b w:val="0"/>
              </w:rPr>
              <w:t>30-35</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P13-3</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Current liabilities: various.</w:t>
            </w:r>
          </w:p>
        </w:tc>
        <w:tc>
          <w:tcPr>
            <w:tcW w:w="1260" w:type="dxa"/>
            <w:hideMark/>
          </w:tcPr>
          <w:p w:rsidR="00CC5581" w:rsidRDefault="00CC5581">
            <w:pPr>
              <w:pStyle w:val="Heading2"/>
              <w:numPr>
                <w:ilvl w:val="0"/>
                <w:numId w:val="0"/>
              </w:numPr>
              <w:tabs>
                <w:tab w:val="left" w:pos="720"/>
              </w:tabs>
              <w:rPr>
                <w:b w:val="0"/>
              </w:rPr>
            </w:pPr>
            <w:r>
              <w:rPr>
                <w:b w:val="0"/>
              </w:rPr>
              <w:t>Complex</w:t>
            </w:r>
          </w:p>
        </w:tc>
        <w:tc>
          <w:tcPr>
            <w:tcW w:w="1350" w:type="dxa"/>
            <w:hideMark/>
          </w:tcPr>
          <w:p w:rsidR="00CC5581" w:rsidRDefault="00CC5581">
            <w:pPr>
              <w:pStyle w:val="Heading2"/>
              <w:numPr>
                <w:ilvl w:val="0"/>
                <w:numId w:val="0"/>
              </w:numPr>
              <w:tabs>
                <w:tab w:val="left" w:pos="720"/>
              </w:tabs>
              <w:rPr>
                <w:b w:val="0"/>
              </w:rPr>
            </w:pPr>
            <w:r>
              <w:rPr>
                <w:b w:val="0"/>
              </w:rPr>
              <w:t>45-55</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P13-4</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Asset retirement obligation and warranties.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50" w:type="dxa"/>
            <w:hideMark/>
          </w:tcPr>
          <w:p w:rsidR="00CC5581" w:rsidRDefault="00CC5581">
            <w:pPr>
              <w:pStyle w:val="Heading2"/>
              <w:numPr>
                <w:ilvl w:val="0"/>
                <w:numId w:val="0"/>
              </w:numPr>
              <w:tabs>
                <w:tab w:val="left" w:pos="720"/>
              </w:tabs>
              <w:rPr>
                <w:b w:val="0"/>
              </w:rPr>
            </w:pPr>
            <w:r>
              <w:rPr>
                <w:b w:val="0"/>
              </w:rPr>
              <w:t>25-35</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P13-5</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Payroll tax entries.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50" w:type="dxa"/>
            <w:hideMark/>
          </w:tcPr>
          <w:p w:rsidR="00CC5581" w:rsidRDefault="00CC5581">
            <w:pPr>
              <w:pStyle w:val="Heading2"/>
              <w:numPr>
                <w:ilvl w:val="0"/>
                <w:numId w:val="0"/>
              </w:numPr>
              <w:tabs>
                <w:tab w:val="left" w:pos="720"/>
              </w:tabs>
              <w:rPr>
                <w:b w:val="0"/>
              </w:rPr>
            </w:pPr>
            <w:r>
              <w:rPr>
                <w:b w:val="0"/>
              </w:rPr>
              <w:t>20-30</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P13-6</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Payroll tax entries.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50" w:type="dxa"/>
            <w:hideMark/>
          </w:tcPr>
          <w:p w:rsidR="00CC5581" w:rsidRDefault="00CC5581">
            <w:pPr>
              <w:pStyle w:val="Heading2"/>
              <w:numPr>
                <w:ilvl w:val="0"/>
                <w:numId w:val="0"/>
              </w:numPr>
              <w:tabs>
                <w:tab w:val="left" w:pos="720"/>
              </w:tabs>
              <w:rPr>
                <w:b w:val="0"/>
              </w:rPr>
            </w:pPr>
            <w:r>
              <w:rPr>
                <w:b w:val="0"/>
              </w:rPr>
              <w:t>20-25</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P13-7</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Bonus calculation.</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50" w:type="dxa"/>
            <w:hideMark/>
          </w:tcPr>
          <w:p w:rsidR="00CC5581" w:rsidRDefault="00CC5581">
            <w:pPr>
              <w:pStyle w:val="Heading2"/>
              <w:numPr>
                <w:ilvl w:val="0"/>
                <w:numId w:val="0"/>
              </w:numPr>
              <w:tabs>
                <w:tab w:val="left" w:pos="720"/>
              </w:tabs>
              <w:rPr>
                <w:b w:val="0"/>
              </w:rPr>
            </w:pPr>
            <w:r>
              <w:rPr>
                <w:b w:val="0"/>
              </w:rPr>
              <w:t>25-30</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P13-8</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Loss contingencies: entries and essay.</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50" w:type="dxa"/>
            <w:hideMark/>
          </w:tcPr>
          <w:p w:rsidR="00CC5581" w:rsidRDefault="00CC5581">
            <w:pPr>
              <w:pStyle w:val="Heading2"/>
              <w:numPr>
                <w:ilvl w:val="0"/>
                <w:numId w:val="0"/>
              </w:numPr>
              <w:tabs>
                <w:tab w:val="left" w:pos="720"/>
              </w:tabs>
              <w:rPr>
                <w:b w:val="0"/>
              </w:rPr>
            </w:pPr>
            <w:r>
              <w:rPr>
                <w:b w:val="0"/>
              </w:rPr>
              <w:t>45-50</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P13-9</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Advances, self-insurance, loss contingencies, guarantees and commitments.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50" w:type="dxa"/>
            <w:hideMark/>
          </w:tcPr>
          <w:p w:rsidR="00CC5581" w:rsidRDefault="00CC5581">
            <w:pPr>
              <w:pStyle w:val="Heading2"/>
              <w:numPr>
                <w:ilvl w:val="0"/>
                <w:numId w:val="0"/>
              </w:numPr>
              <w:tabs>
                <w:tab w:val="left" w:pos="720"/>
              </w:tabs>
              <w:rPr>
                <w:b w:val="0"/>
              </w:rPr>
            </w:pPr>
            <w:r>
              <w:rPr>
                <w:b w:val="0"/>
              </w:rPr>
              <w:t>25-30</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P13-10</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Warranties, accrual and cash basis.</w:t>
            </w:r>
          </w:p>
        </w:tc>
        <w:tc>
          <w:tcPr>
            <w:tcW w:w="1260" w:type="dxa"/>
            <w:hideMark/>
          </w:tcPr>
          <w:p w:rsidR="00CC5581" w:rsidRDefault="00CC5581">
            <w:pPr>
              <w:pStyle w:val="Heading2"/>
              <w:numPr>
                <w:ilvl w:val="0"/>
                <w:numId w:val="0"/>
              </w:numPr>
              <w:tabs>
                <w:tab w:val="left" w:pos="720"/>
              </w:tabs>
              <w:rPr>
                <w:b w:val="0"/>
              </w:rPr>
            </w:pPr>
            <w:r>
              <w:rPr>
                <w:b w:val="0"/>
              </w:rPr>
              <w:t>Simple</w:t>
            </w:r>
          </w:p>
        </w:tc>
        <w:tc>
          <w:tcPr>
            <w:tcW w:w="1350" w:type="dxa"/>
            <w:hideMark/>
          </w:tcPr>
          <w:p w:rsidR="00CC5581" w:rsidRDefault="00CC5581">
            <w:pPr>
              <w:pStyle w:val="Heading2"/>
              <w:numPr>
                <w:ilvl w:val="0"/>
                <w:numId w:val="0"/>
              </w:numPr>
              <w:tabs>
                <w:tab w:val="left" w:pos="720"/>
              </w:tabs>
              <w:rPr>
                <w:b w:val="0"/>
              </w:rPr>
            </w:pPr>
            <w:r>
              <w:rPr>
                <w:b w:val="0"/>
              </w:rPr>
              <w:t>20-25</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P13-11</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Extended sales warranties.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50" w:type="dxa"/>
            <w:hideMark/>
          </w:tcPr>
          <w:p w:rsidR="00CC5581" w:rsidRDefault="00CC5581">
            <w:pPr>
              <w:pStyle w:val="Heading2"/>
              <w:numPr>
                <w:ilvl w:val="0"/>
                <w:numId w:val="0"/>
              </w:numPr>
              <w:tabs>
                <w:tab w:val="left" w:pos="720"/>
              </w:tabs>
              <w:rPr>
                <w:b w:val="0"/>
              </w:rPr>
            </w:pPr>
            <w:r>
              <w:rPr>
                <w:b w:val="0"/>
              </w:rPr>
              <w:t>20-30</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P13-12</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Warranty calculations.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50" w:type="dxa"/>
            <w:hideMark/>
          </w:tcPr>
          <w:p w:rsidR="00CC5581" w:rsidRDefault="00CC5581">
            <w:pPr>
              <w:pStyle w:val="Heading2"/>
              <w:numPr>
                <w:ilvl w:val="0"/>
                <w:numId w:val="0"/>
              </w:numPr>
              <w:tabs>
                <w:tab w:val="left" w:pos="720"/>
              </w:tabs>
              <w:rPr>
                <w:b w:val="0"/>
              </w:rPr>
            </w:pPr>
            <w:r>
              <w:rPr>
                <w:b w:val="0"/>
              </w:rPr>
              <w:t>20-25</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P13-13</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Premium entries.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50" w:type="dxa"/>
            <w:hideMark/>
          </w:tcPr>
          <w:p w:rsidR="00CC5581" w:rsidRDefault="00CC5581">
            <w:pPr>
              <w:pStyle w:val="Heading2"/>
              <w:numPr>
                <w:ilvl w:val="0"/>
                <w:numId w:val="0"/>
              </w:numPr>
              <w:tabs>
                <w:tab w:val="left" w:pos="720"/>
              </w:tabs>
              <w:rPr>
                <w:b w:val="0"/>
              </w:rPr>
            </w:pPr>
            <w:r>
              <w:rPr>
                <w:b w:val="0"/>
              </w:rPr>
              <w:t>30-45</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P13-14</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Premium entries and financial statement presentation.</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50" w:type="dxa"/>
            <w:hideMark/>
          </w:tcPr>
          <w:p w:rsidR="00CC5581" w:rsidRDefault="00CC5581">
            <w:pPr>
              <w:pStyle w:val="Heading2"/>
              <w:numPr>
                <w:ilvl w:val="0"/>
                <w:numId w:val="0"/>
              </w:numPr>
              <w:tabs>
                <w:tab w:val="left" w:pos="720"/>
              </w:tabs>
              <w:rPr>
                <w:b w:val="0"/>
              </w:rPr>
            </w:pPr>
            <w:r>
              <w:rPr>
                <w:b w:val="0"/>
              </w:rPr>
              <w:t>30-45</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P13-15</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Warranties and premiums.</w:t>
            </w:r>
          </w:p>
        </w:tc>
        <w:tc>
          <w:tcPr>
            <w:tcW w:w="1260" w:type="dxa"/>
            <w:hideMark/>
          </w:tcPr>
          <w:p w:rsidR="00CC5581" w:rsidRDefault="00CC5581">
            <w:pPr>
              <w:pStyle w:val="Heading2"/>
              <w:numPr>
                <w:ilvl w:val="0"/>
                <w:numId w:val="0"/>
              </w:numPr>
              <w:tabs>
                <w:tab w:val="left" w:pos="720"/>
              </w:tabs>
              <w:rPr>
                <w:b w:val="0"/>
              </w:rPr>
            </w:pPr>
            <w:r>
              <w:rPr>
                <w:b w:val="0"/>
              </w:rPr>
              <w:t>Simple</w:t>
            </w:r>
          </w:p>
        </w:tc>
        <w:tc>
          <w:tcPr>
            <w:tcW w:w="1350" w:type="dxa"/>
            <w:hideMark/>
          </w:tcPr>
          <w:p w:rsidR="00CC5581" w:rsidRDefault="00CC5581">
            <w:pPr>
              <w:pStyle w:val="Heading2"/>
              <w:numPr>
                <w:ilvl w:val="0"/>
                <w:numId w:val="0"/>
              </w:numPr>
              <w:tabs>
                <w:tab w:val="left" w:pos="720"/>
              </w:tabs>
              <w:rPr>
                <w:b w:val="0"/>
              </w:rPr>
            </w:pPr>
            <w:r>
              <w:rPr>
                <w:b w:val="0"/>
              </w:rPr>
              <w:t>25-30</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P13-16</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Guarantees and contingencies.</w:t>
            </w:r>
          </w:p>
        </w:tc>
        <w:tc>
          <w:tcPr>
            <w:tcW w:w="1260" w:type="dxa"/>
            <w:hideMark/>
          </w:tcPr>
          <w:p w:rsidR="00CC5581" w:rsidRDefault="00CC5581">
            <w:pPr>
              <w:pStyle w:val="Heading2"/>
              <w:numPr>
                <w:ilvl w:val="0"/>
                <w:numId w:val="0"/>
              </w:numPr>
              <w:tabs>
                <w:tab w:val="left" w:pos="720"/>
              </w:tabs>
              <w:rPr>
                <w:b w:val="0"/>
              </w:rPr>
            </w:pPr>
            <w:r>
              <w:rPr>
                <w:b w:val="0"/>
              </w:rPr>
              <w:t>Complex</w:t>
            </w:r>
          </w:p>
        </w:tc>
        <w:tc>
          <w:tcPr>
            <w:tcW w:w="1350" w:type="dxa"/>
            <w:hideMark/>
          </w:tcPr>
          <w:p w:rsidR="00CC5581" w:rsidRDefault="00CC5581">
            <w:pPr>
              <w:pStyle w:val="Heading2"/>
              <w:numPr>
                <w:ilvl w:val="0"/>
                <w:numId w:val="0"/>
              </w:numPr>
              <w:tabs>
                <w:tab w:val="left" w:pos="720"/>
              </w:tabs>
              <w:rPr>
                <w:b w:val="0"/>
              </w:rPr>
            </w:pPr>
            <w:r>
              <w:rPr>
                <w:b w:val="0"/>
              </w:rPr>
              <w:t>35-45</w:t>
            </w:r>
          </w:p>
        </w:tc>
      </w:tr>
      <w:tr w:rsidR="00CC5581" w:rsidTr="00CC5581">
        <w:tc>
          <w:tcPr>
            <w:tcW w:w="1260" w:type="dxa"/>
            <w:hideMark/>
          </w:tcPr>
          <w:p w:rsidR="00CC5581" w:rsidRDefault="00CC5581">
            <w:pPr>
              <w:pStyle w:val="Heading2"/>
              <w:numPr>
                <w:ilvl w:val="0"/>
                <w:numId w:val="0"/>
              </w:numPr>
              <w:tabs>
                <w:tab w:val="left" w:pos="720"/>
              </w:tabs>
              <w:jc w:val="left"/>
              <w:rPr>
                <w:b w:val="0"/>
              </w:rPr>
            </w:pPr>
            <w:r>
              <w:rPr>
                <w:b w:val="0"/>
              </w:rPr>
              <w:t xml:space="preserve">  P13-17</w:t>
            </w:r>
          </w:p>
        </w:tc>
        <w:tc>
          <w:tcPr>
            <w:tcW w:w="360" w:type="dxa"/>
          </w:tcPr>
          <w:p w:rsidR="00CC5581" w:rsidRDefault="00CC5581">
            <w:pPr>
              <w:pStyle w:val="Heading2"/>
              <w:numPr>
                <w:ilvl w:val="0"/>
                <w:numId w:val="0"/>
              </w:numPr>
              <w:tabs>
                <w:tab w:val="left" w:pos="720"/>
              </w:tabs>
              <w:jc w:val="left"/>
              <w:rPr>
                <w:b w:val="0"/>
              </w:rPr>
            </w:pPr>
          </w:p>
        </w:tc>
        <w:tc>
          <w:tcPr>
            <w:tcW w:w="4500" w:type="dxa"/>
            <w:hideMark/>
          </w:tcPr>
          <w:p w:rsidR="00CC5581" w:rsidRDefault="00CC5581">
            <w:pPr>
              <w:pStyle w:val="Heading2"/>
              <w:numPr>
                <w:ilvl w:val="0"/>
                <w:numId w:val="0"/>
              </w:numPr>
              <w:tabs>
                <w:tab w:val="left" w:pos="720"/>
              </w:tabs>
              <w:jc w:val="left"/>
              <w:rPr>
                <w:b w:val="0"/>
              </w:rPr>
            </w:pPr>
            <w:r>
              <w:rPr>
                <w:b w:val="0"/>
              </w:rPr>
              <w:t>Loss contingencies: entries and essays.</w:t>
            </w:r>
          </w:p>
        </w:tc>
        <w:tc>
          <w:tcPr>
            <w:tcW w:w="1260" w:type="dxa"/>
            <w:hideMark/>
          </w:tcPr>
          <w:p w:rsidR="00CC5581" w:rsidRDefault="00CC5581">
            <w:pPr>
              <w:pStyle w:val="Heading2"/>
              <w:numPr>
                <w:ilvl w:val="0"/>
                <w:numId w:val="0"/>
              </w:numPr>
              <w:tabs>
                <w:tab w:val="left" w:pos="720"/>
              </w:tabs>
              <w:rPr>
                <w:b w:val="0"/>
              </w:rPr>
            </w:pPr>
            <w:r>
              <w:rPr>
                <w:b w:val="0"/>
              </w:rPr>
              <w:t>Moderate</w:t>
            </w:r>
          </w:p>
        </w:tc>
        <w:tc>
          <w:tcPr>
            <w:tcW w:w="1350" w:type="dxa"/>
            <w:hideMark/>
          </w:tcPr>
          <w:p w:rsidR="00CC5581" w:rsidRDefault="00CC5581">
            <w:pPr>
              <w:pStyle w:val="Heading2"/>
              <w:numPr>
                <w:ilvl w:val="0"/>
                <w:numId w:val="0"/>
              </w:numPr>
              <w:tabs>
                <w:tab w:val="left" w:pos="720"/>
              </w:tabs>
              <w:rPr>
                <w:b w:val="0"/>
              </w:rPr>
            </w:pPr>
            <w:r>
              <w:rPr>
                <w:b w:val="0"/>
              </w:rPr>
              <w:t>45-50</w:t>
            </w:r>
          </w:p>
        </w:tc>
      </w:tr>
    </w:tbl>
    <w:p w:rsidR="00CC5581" w:rsidRDefault="00CC5581" w:rsidP="00CC5581">
      <w:pPr>
        <w:pStyle w:val="Heading2"/>
        <w:numPr>
          <w:ilvl w:val="0"/>
          <w:numId w:val="0"/>
        </w:numPr>
        <w:tabs>
          <w:tab w:val="left" w:pos="720"/>
        </w:tabs>
        <w:jc w:val="left"/>
        <w:rPr>
          <w:sz w:val="22"/>
        </w:rPr>
      </w:pPr>
    </w:p>
    <w:p w:rsidR="00CC5581" w:rsidRDefault="00CC5581" w:rsidP="00CC5581">
      <w:pPr>
        <w:tabs>
          <w:tab w:val="left" w:pos="475"/>
        </w:tabs>
        <w:rPr>
          <w:rFonts w:ascii="Arial" w:hAnsi="Arial"/>
          <w:b/>
          <w:sz w:val="32"/>
          <w:szCs w:val="32"/>
        </w:rPr>
      </w:pPr>
      <w:r>
        <w:rPr>
          <w:rFonts w:ascii="Arial" w:hAnsi="Arial"/>
          <w:sz w:val="36"/>
        </w:rPr>
        <w:br w:type="page"/>
      </w:r>
      <w:r>
        <w:rPr>
          <w:rFonts w:ascii="Arial" w:hAnsi="Arial"/>
          <w:b/>
          <w:sz w:val="32"/>
          <w:szCs w:val="32"/>
        </w:rPr>
        <w:lastRenderedPageBreak/>
        <w:t>SOLUTIONS TO BRIEF EXERCISES</w:t>
      </w:r>
    </w:p>
    <w:p w:rsidR="00CC5581" w:rsidRDefault="00CC5581" w:rsidP="00CC5581">
      <w:pPr>
        <w:ind w:left="475" w:hanging="475"/>
        <w:rPr>
          <w:rFonts w:ascii="Arial" w:hAnsi="Arial"/>
          <w:b/>
        </w:rPr>
      </w:pPr>
    </w:p>
    <w:p w:rsidR="00CC5581" w:rsidRDefault="00CC5581" w:rsidP="00CC5581">
      <w:pPr>
        <w:ind w:left="475" w:hanging="475"/>
        <w:rPr>
          <w:rFonts w:ascii="Arial" w:hAnsi="Arial"/>
          <w:b/>
          <w:sz w:val="28"/>
        </w:rPr>
      </w:pPr>
    </w:p>
    <w:p w:rsidR="00CC5581" w:rsidRDefault="00CC5581" w:rsidP="00CC5581">
      <w:pPr>
        <w:ind w:left="475" w:hanging="475"/>
        <w:rPr>
          <w:rFonts w:ascii="Arial" w:hAnsi="Arial"/>
          <w:b/>
          <w:sz w:val="28"/>
        </w:rPr>
      </w:pPr>
      <w:r>
        <w:rPr>
          <w:rFonts w:ascii="Arial" w:hAnsi="Arial"/>
          <w:b/>
          <w:sz w:val="28"/>
        </w:rPr>
        <w:t>BRIEF EXERCISE 13-1</w:t>
      </w:r>
    </w:p>
    <w:p w:rsidR="00CC5581" w:rsidRDefault="00CC5581" w:rsidP="00CC5581">
      <w:pPr>
        <w:ind w:left="475" w:hanging="475"/>
        <w:rPr>
          <w:rFonts w:ascii="Arial" w:hAnsi="Arial"/>
          <w:b/>
          <w:sz w:val="28"/>
        </w:rPr>
      </w:pPr>
    </w:p>
    <w:p w:rsidR="00CC5581" w:rsidRDefault="00CC5581" w:rsidP="00CC5581">
      <w:pPr>
        <w:numPr>
          <w:ilvl w:val="0"/>
          <w:numId w:val="2"/>
        </w:numPr>
        <w:ind w:hanging="720"/>
        <w:jc w:val="both"/>
        <w:rPr>
          <w:rFonts w:ascii="Arial" w:hAnsi="Arial"/>
          <w:b/>
          <w:sz w:val="28"/>
        </w:rPr>
      </w:pPr>
      <w:r>
        <w:rPr>
          <w:rFonts w:ascii="Arial" w:hAnsi="Arial"/>
          <w:b/>
          <w:sz w:val="28"/>
        </w:rPr>
        <w:t>Working capital is the excess of total current assets over total current liabilities. It represents the liquid buffer that is available to meet the financial demands of the company’s operating cycle. Current liabilities place a demand on the company’s current assets. Management of the due dates of current liabilities and management of current assets to generate cash on a timely basis are important for effective management of business operations. Effective management of working capital to achieve high liquidity may also contribute to positive cash from operating activities as seen on the statement of cash flows.</w:t>
      </w:r>
    </w:p>
    <w:p w:rsidR="00CC5581" w:rsidRDefault="00CC5581" w:rsidP="00CC5581">
      <w:pPr>
        <w:ind w:left="360"/>
        <w:jc w:val="both"/>
        <w:rPr>
          <w:rFonts w:ascii="Arial" w:hAnsi="Arial"/>
          <w:b/>
          <w:sz w:val="28"/>
        </w:rPr>
      </w:pPr>
    </w:p>
    <w:p w:rsidR="00CC5581" w:rsidRDefault="00CC5581" w:rsidP="00CC5581">
      <w:pPr>
        <w:numPr>
          <w:ilvl w:val="0"/>
          <w:numId w:val="2"/>
        </w:numPr>
        <w:ind w:hanging="720"/>
        <w:jc w:val="both"/>
        <w:rPr>
          <w:rFonts w:ascii="Arial" w:hAnsi="Arial"/>
          <w:b/>
          <w:sz w:val="28"/>
        </w:rPr>
      </w:pPr>
      <w:r>
        <w:rPr>
          <w:rFonts w:ascii="Arial" w:hAnsi="Arial"/>
          <w:b/>
          <w:sz w:val="28"/>
        </w:rPr>
        <w:t xml:space="preserve">Wellson can improve its management of working capital by focusing on management of current liabilities as well as current assets. For example, if Wellson has a cash flow shortage, it can take advantage of the full credit period extended by its suppliers. As another example, Wellson may also time the due dates of short-term notes payable to coincide with expected periods of positive cash flow. </w:t>
      </w:r>
    </w:p>
    <w:p w:rsidR="00CC5581" w:rsidRDefault="00CC5581" w:rsidP="00CC5581">
      <w:pPr>
        <w:jc w:val="both"/>
        <w:rPr>
          <w:rFonts w:ascii="Arial" w:hAnsi="Arial"/>
          <w:b/>
          <w:sz w:val="28"/>
        </w:rPr>
      </w:pPr>
    </w:p>
    <w:p w:rsidR="00CC5581" w:rsidRDefault="00CC5581" w:rsidP="00CC5581">
      <w:pPr>
        <w:jc w:val="both"/>
        <w:rPr>
          <w:rFonts w:ascii="Arial" w:hAnsi="Arial"/>
          <w:b/>
          <w:sz w:val="28"/>
        </w:rPr>
      </w:pPr>
    </w:p>
    <w:p w:rsidR="00CC5581" w:rsidRDefault="00CC5581" w:rsidP="00CC5581">
      <w:pPr>
        <w:ind w:left="475" w:hanging="475"/>
        <w:rPr>
          <w:rFonts w:ascii="Arial" w:hAnsi="Arial"/>
          <w:b/>
          <w:sz w:val="28"/>
        </w:rPr>
      </w:pPr>
      <w:r>
        <w:rPr>
          <w:rFonts w:ascii="Arial" w:hAnsi="Arial"/>
          <w:b/>
          <w:sz w:val="28"/>
        </w:rPr>
        <w:t>BRIEF EXERCISE 13-2</w:t>
      </w:r>
    </w:p>
    <w:p w:rsidR="00CC5581" w:rsidRDefault="00CC5581" w:rsidP="00CC5581">
      <w:pPr>
        <w:ind w:left="475" w:hanging="475"/>
        <w:rPr>
          <w:rFonts w:ascii="Arial" w:hAnsi="Arial"/>
          <w:b/>
          <w:sz w:val="28"/>
        </w:rPr>
      </w:pPr>
    </w:p>
    <w:tbl>
      <w:tblPr>
        <w:tblW w:w="0" w:type="auto"/>
        <w:tblLayout w:type="fixed"/>
        <w:tblLook w:val="04A0" w:firstRow="1" w:lastRow="0" w:firstColumn="1" w:lastColumn="0" w:noHBand="0" w:noVBand="1"/>
      </w:tblPr>
      <w:tblGrid>
        <w:gridCol w:w="918"/>
        <w:gridCol w:w="5580"/>
        <w:gridCol w:w="1170"/>
        <w:gridCol w:w="1170"/>
      </w:tblGrid>
      <w:tr w:rsidR="00CC5581" w:rsidTr="00CC5581">
        <w:tc>
          <w:tcPr>
            <w:tcW w:w="918" w:type="dxa"/>
            <w:hideMark/>
          </w:tcPr>
          <w:p w:rsidR="00CC5581" w:rsidRDefault="00CC5581">
            <w:pPr>
              <w:rPr>
                <w:rFonts w:ascii="Arial" w:hAnsi="Arial"/>
                <w:b/>
                <w:sz w:val="28"/>
              </w:rPr>
            </w:pPr>
            <w:r>
              <w:rPr>
                <w:rFonts w:ascii="Arial" w:hAnsi="Arial"/>
                <w:b/>
                <w:sz w:val="28"/>
              </w:rPr>
              <w:t>07/01</w:t>
            </w:r>
          </w:p>
        </w:tc>
        <w:tc>
          <w:tcPr>
            <w:tcW w:w="5580" w:type="dxa"/>
            <w:hideMark/>
          </w:tcPr>
          <w:p w:rsidR="00CC5581" w:rsidRDefault="00CC5581">
            <w:pPr>
              <w:tabs>
                <w:tab w:val="left" w:pos="720"/>
                <w:tab w:val="right" w:leader="dot" w:pos="7200"/>
              </w:tabs>
              <w:rPr>
                <w:rFonts w:ascii="Arial" w:hAnsi="Arial"/>
                <w:b/>
                <w:sz w:val="28"/>
              </w:rPr>
            </w:pPr>
            <w:r>
              <w:rPr>
                <w:rFonts w:ascii="Arial" w:hAnsi="Arial"/>
                <w:b/>
                <w:sz w:val="28"/>
              </w:rPr>
              <w:t>Purchases</w:t>
            </w:r>
            <w:r>
              <w:rPr>
                <w:rFonts w:ascii="Arial" w:hAnsi="Arial"/>
                <w:b/>
                <w:sz w:val="28"/>
              </w:rPr>
              <w:tab/>
            </w:r>
          </w:p>
        </w:tc>
        <w:tc>
          <w:tcPr>
            <w:tcW w:w="1170" w:type="dxa"/>
            <w:hideMark/>
          </w:tcPr>
          <w:p w:rsidR="00CC5581" w:rsidRDefault="00CC5581">
            <w:pPr>
              <w:jc w:val="right"/>
              <w:rPr>
                <w:rFonts w:ascii="Arial" w:hAnsi="Arial"/>
                <w:b/>
                <w:sz w:val="28"/>
              </w:rPr>
            </w:pPr>
            <w:r>
              <w:rPr>
                <w:rFonts w:ascii="Arial" w:hAnsi="Arial"/>
                <w:b/>
                <w:sz w:val="28"/>
              </w:rPr>
              <w:t>60,000</w:t>
            </w:r>
          </w:p>
        </w:tc>
        <w:tc>
          <w:tcPr>
            <w:tcW w:w="1170" w:type="dxa"/>
          </w:tcPr>
          <w:p w:rsidR="00CC5581" w:rsidRDefault="00CC5581">
            <w:pPr>
              <w:jc w:val="right"/>
              <w:rPr>
                <w:rFonts w:ascii="Arial" w:hAnsi="Arial"/>
                <w:b/>
                <w:sz w:val="28"/>
              </w:rPr>
            </w:pPr>
          </w:p>
        </w:tc>
      </w:tr>
      <w:tr w:rsidR="00CC5581" w:rsidTr="00CC5581">
        <w:tc>
          <w:tcPr>
            <w:tcW w:w="918" w:type="dxa"/>
          </w:tcPr>
          <w:p w:rsidR="00CC5581" w:rsidRDefault="00CC5581">
            <w:pPr>
              <w:rPr>
                <w:rFonts w:ascii="Arial" w:hAnsi="Arial"/>
                <w:b/>
                <w:sz w:val="28"/>
              </w:rPr>
            </w:pPr>
          </w:p>
        </w:tc>
        <w:tc>
          <w:tcPr>
            <w:tcW w:w="5580" w:type="dxa"/>
            <w:hideMark/>
          </w:tcPr>
          <w:p w:rsidR="00CC5581" w:rsidRDefault="00CC5581">
            <w:pPr>
              <w:tabs>
                <w:tab w:val="left" w:pos="720"/>
                <w:tab w:val="right" w:leader="dot" w:pos="7200"/>
              </w:tabs>
              <w:rPr>
                <w:rFonts w:ascii="Arial" w:hAnsi="Arial"/>
                <w:b/>
                <w:sz w:val="28"/>
              </w:rPr>
            </w:pPr>
            <w:r>
              <w:rPr>
                <w:rFonts w:ascii="Arial" w:hAnsi="Arial"/>
                <w:b/>
                <w:sz w:val="28"/>
              </w:rPr>
              <w:tab/>
              <w:t>Accounts Payable</w:t>
            </w:r>
            <w:r>
              <w:rPr>
                <w:rFonts w:ascii="Arial" w:hAnsi="Arial"/>
                <w:b/>
                <w:sz w:val="28"/>
              </w:rPr>
              <w:tab/>
            </w:r>
          </w:p>
        </w:tc>
        <w:tc>
          <w:tcPr>
            <w:tcW w:w="1170" w:type="dxa"/>
          </w:tcPr>
          <w:p w:rsidR="00CC5581" w:rsidRDefault="00CC5581">
            <w:pPr>
              <w:jc w:val="right"/>
              <w:rPr>
                <w:rFonts w:ascii="Arial" w:hAnsi="Arial"/>
                <w:b/>
                <w:sz w:val="28"/>
              </w:rPr>
            </w:pPr>
          </w:p>
        </w:tc>
        <w:tc>
          <w:tcPr>
            <w:tcW w:w="1170" w:type="dxa"/>
            <w:hideMark/>
          </w:tcPr>
          <w:p w:rsidR="00CC5581" w:rsidRDefault="00CC5581">
            <w:pPr>
              <w:jc w:val="right"/>
              <w:rPr>
                <w:rFonts w:ascii="Arial" w:hAnsi="Arial"/>
                <w:b/>
                <w:sz w:val="28"/>
              </w:rPr>
            </w:pPr>
            <w:r>
              <w:rPr>
                <w:rFonts w:ascii="Arial" w:hAnsi="Arial"/>
                <w:b/>
                <w:sz w:val="28"/>
              </w:rPr>
              <w:t>60,000</w:t>
            </w:r>
          </w:p>
        </w:tc>
      </w:tr>
      <w:tr w:rsidR="00CC5581" w:rsidTr="00CC5581">
        <w:tc>
          <w:tcPr>
            <w:tcW w:w="918" w:type="dxa"/>
          </w:tcPr>
          <w:p w:rsidR="00CC5581" w:rsidRDefault="00CC5581">
            <w:pPr>
              <w:rPr>
                <w:rFonts w:ascii="Arial" w:hAnsi="Arial"/>
                <w:b/>
                <w:sz w:val="28"/>
              </w:rPr>
            </w:pPr>
          </w:p>
        </w:tc>
        <w:tc>
          <w:tcPr>
            <w:tcW w:w="5580" w:type="dxa"/>
          </w:tcPr>
          <w:p w:rsidR="00CC5581" w:rsidRDefault="00CC5581">
            <w:pPr>
              <w:tabs>
                <w:tab w:val="left" w:pos="720"/>
                <w:tab w:val="right" w:leader="dot" w:pos="7200"/>
              </w:tabs>
              <w:rPr>
                <w:rFonts w:ascii="Arial" w:hAnsi="Arial"/>
                <w:b/>
                <w:sz w:val="28"/>
              </w:rPr>
            </w:pPr>
          </w:p>
        </w:tc>
        <w:tc>
          <w:tcPr>
            <w:tcW w:w="1170" w:type="dxa"/>
          </w:tcPr>
          <w:p w:rsidR="00CC5581" w:rsidRDefault="00CC5581">
            <w:pPr>
              <w:jc w:val="right"/>
              <w:rPr>
                <w:rFonts w:ascii="Arial" w:hAnsi="Arial"/>
                <w:b/>
                <w:sz w:val="28"/>
              </w:rPr>
            </w:pPr>
          </w:p>
        </w:tc>
        <w:tc>
          <w:tcPr>
            <w:tcW w:w="1170" w:type="dxa"/>
          </w:tcPr>
          <w:p w:rsidR="00CC5581" w:rsidRDefault="00CC5581">
            <w:pPr>
              <w:jc w:val="right"/>
              <w:rPr>
                <w:rFonts w:ascii="Arial" w:hAnsi="Arial"/>
                <w:b/>
                <w:sz w:val="28"/>
              </w:rPr>
            </w:pPr>
          </w:p>
        </w:tc>
      </w:tr>
      <w:tr w:rsidR="00CC5581" w:rsidTr="00CC5581">
        <w:tc>
          <w:tcPr>
            <w:tcW w:w="918" w:type="dxa"/>
          </w:tcPr>
          <w:p w:rsidR="00CC5581" w:rsidRDefault="00CC5581">
            <w:pPr>
              <w:rPr>
                <w:rFonts w:ascii="Arial" w:hAnsi="Arial"/>
                <w:b/>
                <w:sz w:val="28"/>
              </w:rPr>
            </w:pPr>
          </w:p>
        </w:tc>
        <w:tc>
          <w:tcPr>
            <w:tcW w:w="5580" w:type="dxa"/>
            <w:hideMark/>
          </w:tcPr>
          <w:p w:rsidR="00CC5581" w:rsidRDefault="00CC5581">
            <w:pPr>
              <w:tabs>
                <w:tab w:val="left" w:pos="720"/>
                <w:tab w:val="right" w:leader="dot" w:pos="7200"/>
              </w:tabs>
              <w:rPr>
                <w:rFonts w:ascii="Arial" w:hAnsi="Arial"/>
                <w:b/>
                <w:sz w:val="28"/>
              </w:rPr>
            </w:pPr>
            <w:r>
              <w:rPr>
                <w:rFonts w:ascii="Arial" w:hAnsi="Arial"/>
                <w:b/>
                <w:sz w:val="28"/>
              </w:rPr>
              <w:t>Freight-in</w:t>
            </w:r>
            <w:r>
              <w:rPr>
                <w:rFonts w:ascii="Arial" w:hAnsi="Arial"/>
                <w:b/>
                <w:sz w:val="28"/>
              </w:rPr>
              <w:tab/>
            </w:r>
          </w:p>
        </w:tc>
        <w:tc>
          <w:tcPr>
            <w:tcW w:w="1170" w:type="dxa"/>
            <w:hideMark/>
          </w:tcPr>
          <w:p w:rsidR="00CC5581" w:rsidRDefault="00CC5581">
            <w:pPr>
              <w:jc w:val="right"/>
              <w:rPr>
                <w:rFonts w:ascii="Arial" w:hAnsi="Arial"/>
                <w:b/>
                <w:sz w:val="28"/>
              </w:rPr>
            </w:pPr>
            <w:r>
              <w:rPr>
                <w:rFonts w:ascii="Arial" w:hAnsi="Arial"/>
                <w:b/>
                <w:sz w:val="28"/>
              </w:rPr>
              <w:t>1,200</w:t>
            </w:r>
          </w:p>
        </w:tc>
        <w:tc>
          <w:tcPr>
            <w:tcW w:w="1170" w:type="dxa"/>
          </w:tcPr>
          <w:p w:rsidR="00CC5581" w:rsidRDefault="00CC5581">
            <w:pPr>
              <w:jc w:val="right"/>
              <w:rPr>
                <w:rFonts w:ascii="Arial" w:hAnsi="Arial"/>
                <w:b/>
                <w:sz w:val="28"/>
              </w:rPr>
            </w:pPr>
          </w:p>
        </w:tc>
      </w:tr>
      <w:tr w:rsidR="00CC5581" w:rsidTr="00CC5581">
        <w:trPr>
          <w:trHeight w:val="279"/>
        </w:trPr>
        <w:tc>
          <w:tcPr>
            <w:tcW w:w="918" w:type="dxa"/>
          </w:tcPr>
          <w:p w:rsidR="00CC5581" w:rsidRDefault="00CC5581">
            <w:pPr>
              <w:rPr>
                <w:rFonts w:ascii="Arial" w:hAnsi="Arial"/>
                <w:b/>
                <w:sz w:val="28"/>
              </w:rPr>
            </w:pPr>
          </w:p>
        </w:tc>
        <w:tc>
          <w:tcPr>
            <w:tcW w:w="5580" w:type="dxa"/>
            <w:hideMark/>
          </w:tcPr>
          <w:p w:rsidR="00CC5581" w:rsidRDefault="00CC5581">
            <w:pPr>
              <w:tabs>
                <w:tab w:val="left" w:pos="720"/>
                <w:tab w:val="right" w:leader="dot" w:pos="7200"/>
              </w:tabs>
              <w:rPr>
                <w:rFonts w:ascii="Arial" w:hAnsi="Arial"/>
                <w:b/>
                <w:sz w:val="28"/>
              </w:rPr>
            </w:pPr>
            <w:r>
              <w:rPr>
                <w:rFonts w:ascii="Arial" w:hAnsi="Arial"/>
                <w:b/>
                <w:sz w:val="28"/>
              </w:rPr>
              <w:tab/>
              <w:t>Cash</w:t>
            </w:r>
            <w:r>
              <w:rPr>
                <w:rFonts w:ascii="Arial" w:hAnsi="Arial"/>
                <w:b/>
                <w:sz w:val="28"/>
              </w:rPr>
              <w:tab/>
              <w:t>Cash</w:t>
            </w:r>
            <w:r>
              <w:rPr>
                <w:rFonts w:ascii="Arial" w:hAnsi="Arial"/>
                <w:b/>
                <w:sz w:val="28"/>
              </w:rPr>
              <w:tab/>
            </w:r>
          </w:p>
        </w:tc>
        <w:tc>
          <w:tcPr>
            <w:tcW w:w="1170" w:type="dxa"/>
          </w:tcPr>
          <w:p w:rsidR="00CC5581" w:rsidRDefault="00CC5581">
            <w:pPr>
              <w:jc w:val="right"/>
              <w:rPr>
                <w:rFonts w:ascii="Arial" w:hAnsi="Arial"/>
                <w:b/>
                <w:sz w:val="28"/>
              </w:rPr>
            </w:pPr>
          </w:p>
        </w:tc>
        <w:tc>
          <w:tcPr>
            <w:tcW w:w="1170" w:type="dxa"/>
            <w:hideMark/>
          </w:tcPr>
          <w:p w:rsidR="00CC5581" w:rsidRDefault="00CC5581">
            <w:pPr>
              <w:jc w:val="right"/>
              <w:rPr>
                <w:rFonts w:ascii="Arial" w:hAnsi="Arial"/>
                <w:b/>
                <w:sz w:val="28"/>
              </w:rPr>
            </w:pPr>
            <w:r>
              <w:rPr>
                <w:rFonts w:ascii="Arial" w:hAnsi="Arial"/>
                <w:b/>
                <w:sz w:val="28"/>
              </w:rPr>
              <w:t>1,200</w:t>
            </w:r>
          </w:p>
        </w:tc>
      </w:tr>
      <w:tr w:rsidR="00CC5581" w:rsidTr="00CC5581">
        <w:trPr>
          <w:trHeight w:val="279"/>
        </w:trPr>
        <w:tc>
          <w:tcPr>
            <w:tcW w:w="918" w:type="dxa"/>
          </w:tcPr>
          <w:p w:rsidR="00CC5581" w:rsidRDefault="00CC5581">
            <w:pPr>
              <w:rPr>
                <w:rFonts w:ascii="Arial" w:hAnsi="Arial"/>
                <w:b/>
                <w:sz w:val="28"/>
              </w:rPr>
            </w:pPr>
          </w:p>
        </w:tc>
        <w:tc>
          <w:tcPr>
            <w:tcW w:w="5580" w:type="dxa"/>
          </w:tcPr>
          <w:p w:rsidR="00CC5581" w:rsidRDefault="00CC5581">
            <w:pPr>
              <w:tabs>
                <w:tab w:val="left" w:pos="720"/>
                <w:tab w:val="right" w:leader="dot" w:pos="7200"/>
              </w:tabs>
              <w:rPr>
                <w:rFonts w:ascii="Arial" w:hAnsi="Arial"/>
                <w:b/>
                <w:sz w:val="28"/>
              </w:rPr>
            </w:pPr>
          </w:p>
        </w:tc>
        <w:tc>
          <w:tcPr>
            <w:tcW w:w="1170" w:type="dxa"/>
          </w:tcPr>
          <w:p w:rsidR="00CC5581" w:rsidRDefault="00CC5581">
            <w:pPr>
              <w:jc w:val="right"/>
              <w:rPr>
                <w:rFonts w:ascii="Arial" w:hAnsi="Arial"/>
                <w:b/>
                <w:sz w:val="28"/>
              </w:rPr>
            </w:pPr>
          </w:p>
        </w:tc>
        <w:tc>
          <w:tcPr>
            <w:tcW w:w="1170" w:type="dxa"/>
          </w:tcPr>
          <w:p w:rsidR="00CC5581" w:rsidRDefault="00CC5581">
            <w:pPr>
              <w:jc w:val="right"/>
              <w:rPr>
                <w:rFonts w:ascii="Arial" w:hAnsi="Arial"/>
                <w:b/>
                <w:sz w:val="28"/>
              </w:rPr>
            </w:pPr>
          </w:p>
        </w:tc>
      </w:tr>
      <w:tr w:rsidR="00CC5581" w:rsidTr="00CC5581">
        <w:trPr>
          <w:trHeight w:val="279"/>
        </w:trPr>
        <w:tc>
          <w:tcPr>
            <w:tcW w:w="918" w:type="dxa"/>
            <w:hideMark/>
          </w:tcPr>
          <w:p w:rsidR="00CC5581" w:rsidRDefault="00CC5581">
            <w:pPr>
              <w:rPr>
                <w:rFonts w:ascii="Arial" w:hAnsi="Arial"/>
                <w:b/>
                <w:sz w:val="28"/>
              </w:rPr>
            </w:pPr>
            <w:r>
              <w:rPr>
                <w:rFonts w:ascii="Arial" w:hAnsi="Arial"/>
                <w:b/>
                <w:sz w:val="28"/>
              </w:rPr>
              <w:t>07/03</w:t>
            </w:r>
          </w:p>
        </w:tc>
        <w:tc>
          <w:tcPr>
            <w:tcW w:w="5580" w:type="dxa"/>
            <w:hideMark/>
          </w:tcPr>
          <w:p w:rsidR="00CC5581" w:rsidRDefault="00CC5581">
            <w:pPr>
              <w:tabs>
                <w:tab w:val="left" w:pos="720"/>
                <w:tab w:val="right" w:leader="dot" w:pos="7200"/>
              </w:tabs>
              <w:rPr>
                <w:rFonts w:ascii="Arial" w:hAnsi="Arial"/>
                <w:b/>
                <w:sz w:val="28"/>
              </w:rPr>
            </w:pPr>
            <w:r>
              <w:rPr>
                <w:rFonts w:ascii="Arial" w:hAnsi="Arial"/>
                <w:b/>
                <w:sz w:val="28"/>
              </w:rPr>
              <w:t>Accounts Payable</w:t>
            </w:r>
            <w:r>
              <w:rPr>
                <w:rFonts w:ascii="Arial" w:hAnsi="Arial"/>
                <w:b/>
                <w:sz w:val="28"/>
              </w:rPr>
              <w:tab/>
            </w:r>
          </w:p>
        </w:tc>
        <w:tc>
          <w:tcPr>
            <w:tcW w:w="1170" w:type="dxa"/>
            <w:hideMark/>
          </w:tcPr>
          <w:p w:rsidR="00CC5581" w:rsidRDefault="00CC5581">
            <w:pPr>
              <w:jc w:val="right"/>
              <w:rPr>
                <w:rFonts w:ascii="Arial" w:hAnsi="Arial"/>
                <w:b/>
                <w:sz w:val="28"/>
              </w:rPr>
            </w:pPr>
            <w:r>
              <w:rPr>
                <w:rFonts w:ascii="Arial" w:hAnsi="Arial"/>
                <w:b/>
                <w:sz w:val="28"/>
              </w:rPr>
              <w:t>6,000</w:t>
            </w:r>
          </w:p>
        </w:tc>
        <w:tc>
          <w:tcPr>
            <w:tcW w:w="1170" w:type="dxa"/>
          </w:tcPr>
          <w:p w:rsidR="00CC5581" w:rsidRDefault="00CC5581">
            <w:pPr>
              <w:jc w:val="right"/>
              <w:rPr>
                <w:rFonts w:ascii="Arial" w:hAnsi="Arial"/>
                <w:b/>
                <w:sz w:val="28"/>
              </w:rPr>
            </w:pPr>
          </w:p>
        </w:tc>
      </w:tr>
      <w:tr w:rsidR="00CC5581" w:rsidTr="00CC5581">
        <w:trPr>
          <w:trHeight w:val="279"/>
        </w:trPr>
        <w:tc>
          <w:tcPr>
            <w:tcW w:w="918" w:type="dxa"/>
          </w:tcPr>
          <w:p w:rsidR="00CC5581" w:rsidRDefault="00CC5581">
            <w:pPr>
              <w:rPr>
                <w:rFonts w:ascii="Arial" w:hAnsi="Arial"/>
                <w:b/>
                <w:sz w:val="28"/>
              </w:rPr>
            </w:pPr>
          </w:p>
        </w:tc>
        <w:tc>
          <w:tcPr>
            <w:tcW w:w="5580" w:type="dxa"/>
            <w:hideMark/>
          </w:tcPr>
          <w:p w:rsidR="00CC5581" w:rsidRDefault="00CC5581">
            <w:pPr>
              <w:tabs>
                <w:tab w:val="left" w:pos="720"/>
                <w:tab w:val="right" w:leader="dot" w:pos="7200"/>
              </w:tabs>
              <w:rPr>
                <w:rFonts w:ascii="Arial" w:hAnsi="Arial"/>
                <w:b/>
                <w:sz w:val="28"/>
              </w:rPr>
            </w:pPr>
            <w:r>
              <w:rPr>
                <w:rFonts w:ascii="Arial" w:hAnsi="Arial"/>
                <w:b/>
                <w:sz w:val="28"/>
              </w:rPr>
              <w:tab/>
              <w:t>Purchase Returns and Allowances</w:t>
            </w:r>
            <w:r>
              <w:rPr>
                <w:rFonts w:ascii="Arial" w:hAnsi="Arial"/>
                <w:b/>
                <w:sz w:val="28"/>
              </w:rPr>
              <w:tab/>
            </w:r>
          </w:p>
        </w:tc>
        <w:tc>
          <w:tcPr>
            <w:tcW w:w="1170" w:type="dxa"/>
          </w:tcPr>
          <w:p w:rsidR="00CC5581" w:rsidRDefault="00CC5581">
            <w:pPr>
              <w:jc w:val="right"/>
              <w:rPr>
                <w:rFonts w:ascii="Arial" w:hAnsi="Arial"/>
                <w:b/>
                <w:sz w:val="28"/>
              </w:rPr>
            </w:pPr>
          </w:p>
        </w:tc>
        <w:tc>
          <w:tcPr>
            <w:tcW w:w="1170" w:type="dxa"/>
            <w:hideMark/>
          </w:tcPr>
          <w:p w:rsidR="00CC5581" w:rsidRDefault="00CC5581">
            <w:pPr>
              <w:jc w:val="right"/>
              <w:rPr>
                <w:rFonts w:ascii="Arial" w:hAnsi="Arial"/>
                <w:b/>
                <w:sz w:val="28"/>
              </w:rPr>
            </w:pPr>
            <w:r>
              <w:rPr>
                <w:rFonts w:ascii="Arial" w:hAnsi="Arial"/>
                <w:b/>
                <w:sz w:val="28"/>
              </w:rPr>
              <w:t>6,000</w:t>
            </w:r>
          </w:p>
        </w:tc>
      </w:tr>
      <w:tr w:rsidR="00CC5581" w:rsidTr="00CC5581">
        <w:trPr>
          <w:trHeight w:val="279"/>
        </w:trPr>
        <w:tc>
          <w:tcPr>
            <w:tcW w:w="918" w:type="dxa"/>
          </w:tcPr>
          <w:p w:rsidR="00CC5581" w:rsidRDefault="00CC5581">
            <w:pPr>
              <w:rPr>
                <w:rFonts w:ascii="Arial" w:hAnsi="Arial"/>
                <w:b/>
                <w:sz w:val="28"/>
              </w:rPr>
            </w:pPr>
          </w:p>
        </w:tc>
        <w:tc>
          <w:tcPr>
            <w:tcW w:w="5580" w:type="dxa"/>
          </w:tcPr>
          <w:p w:rsidR="00CC5581" w:rsidRDefault="00CC5581">
            <w:pPr>
              <w:tabs>
                <w:tab w:val="left" w:pos="720"/>
                <w:tab w:val="right" w:leader="dot" w:pos="7200"/>
              </w:tabs>
              <w:rPr>
                <w:rFonts w:ascii="Arial" w:hAnsi="Arial"/>
                <w:b/>
                <w:sz w:val="28"/>
              </w:rPr>
            </w:pPr>
          </w:p>
        </w:tc>
        <w:tc>
          <w:tcPr>
            <w:tcW w:w="1170" w:type="dxa"/>
          </w:tcPr>
          <w:p w:rsidR="00CC5581" w:rsidRDefault="00CC5581">
            <w:pPr>
              <w:jc w:val="right"/>
              <w:rPr>
                <w:rFonts w:ascii="Arial" w:hAnsi="Arial"/>
                <w:b/>
                <w:sz w:val="28"/>
              </w:rPr>
            </w:pPr>
          </w:p>
        </w:tc>
        <w:tc>
          <w:tcPr>
            <w:tcW w:w="1170" w:type="dxa"/>
          </w:tcPr>
          <w:p w:rsidR="00CC5581" w:rsidRDefault="00CC5581">
            <w:pPr>
              <w:jc w:val="right"/>
              <w:rPr>
                <w:rFonts w:ascii="Arial" w:hAnsi="Arial"/>
                <w:b/>
                <w:sz w:val="28"/>
              </w:rPr>
            </w:pPr>
          </w:p>
        </w:tc>
      </w:tr>
      <w:tr w:rsidR="00CC5581" w:rsidTr="00CC5581">
        <w:trPr>
          <w:trHeight w:val="279"/>
        </w:trPr>
        <w:tc>
          <w:tcPr>
            <w:tcW w:w="918" w:type="dxa"/>
            <w:hideMark/>
          </w:tcPr>
          <w:p w:rsidR="00CC5581" w:rsidRDefault="00CC5581">
            <w:pPr>
              <w:rPr>
                <w:rFonts w:ascii="Arial" w:hAnsi="Arial"/>
                <w:b/>
                <w:sz w:val="28"/>
              </w:rPr>
            </w:pPr>
            <w:r>
              <w:rPr>
                <w:rFonts w:ascii="Arial" w:hAnsi="Arial"/>
                <w:b/>
                <w:sz w:val="28"/>
              </w:rPr>
              <w:t>07/10</w:t>
            </w:r>
          </w:p>
        </w:tc>
        <w:tc>
          <w:tcPr>
            <w:tcW w:w="5580" w:type="dxa"/>
            <w:hideMark/>
          </w:tcPr>
          <w:p w:rsidR="00CC5581" w:rsidRDefault="00CC5581">
            <w:pPr>
              <w:tabs>
                <w:tab w:val="left" w:pos="720"/>
                <w:tab w:val="right" w:leader="dot" w:pos="7200"/>
              </w:tabs>
              <w:rPr>
                <w:rFonts w:ascii="Arial" w:hAnsi="Arial"/>
                <w:b/>
                <w:sz w:val="28"/>
              </w:rPr>
            </w:pPr>
            <w:r>
              <w:rPr>
                <w:rFonts w:ascii="Arial" w:hAnsi="Arial"/>
                <w:b/>
                <w:sz w:val="28"/>
              </w:rPr>
              <w:t>Accounts Payable</w:t>
            </w:r>
            <w:r>
              <w:rPr>
                <w:rFonts w:ascii="Arial" w:hAnsi="Arial"/>
                <w:b/>
                <w:sz w:val="28"/>
              </w:rPr>
              <w:tab/>
            </w:r>
          </w:p>
        </w:tc>
        <w:tc>
          <w:tcPr>
            <w:tcW w:w="1170" w:type="dxa"/>
            <w:hideMark/>
          </w:tcPr>
          <w:p w:rsidR="00CC5581" w:rsidRDefault="00CC5581">
            <w:pPr>
              <w:jc w:val="right"/>
              <w:rPr>
                <w:rFonts w:ascii="Arial" w:hAnsi="Arial"/>
                <w:b/>
                <w:sz w:val="28"/>
              </w:rPr>
            </w:pPr>
            <w:r>
              <w:rPr>
                <w:rFonts w:ascii="Arial" w:hAnsi="Arial"/>
                <w:b/>
                <w:sz w:val="28"/>
              </w:rPr>
              <w:t>54,000</w:t>
            </w:r>
          </w:p>
        </w:tc>
        <w:tc>
          <w:tcPr>
            <w:tcW w:w="1170" w:type="dxa"/>
          </w:tcPr>
          <w:p w:rsidR="00CC5581" w:rsidRDefault="00CC5581">
            <w:pPr>
              <w:jc w:val="right"/>
              <w:rPr>
                <w:rFonts w:ascii="Arial" w:hAnsi="Arial"/>
                <w:b/>
                <w:sz w:val="28"/>
              </w:rPr>
            </w:pPr>
          </w:p>
        </w:tc>
      </w:tr>
      <w:tr w:rsidR="00CC5581" w:rsidTr="00CC5581">
        <w:trPr>
          <w:trHeight w:val="279"/>
        </w:trPr>
        <w:tc>
          <w:tcPr>
            <w:tcW w:w="918" w:type="dxa"/>
          </w:tcPr>
          <w:p w:rsidR="00CC5581" w:rsidRDefault="00CC5581">
            <w:pPr>
              <w:rPr>
                <w:rFonts w:ascii="Arial" w:hAnsi="Arial"/>
                <w:b/>
                <w:sz w:val="28"/>
              </w:rPr>
            </w:pPr>
          </w:p>
        </w:tc>
        <w:tc>
          <w:tcPr>
            <w:tcW w:w="5580" w:type="dxa"/>
            <w:hideMark/>
          </w:tcPr>
          <w:p w:rsidR="00CC5581" w:rsidRDefault="00CC5581">
            <w:pPr>
              <w:tabs>
                <w:tab w:val="left" w:pos="720"/>
                <w:tab w:val="right" w:leader="dot" w:pos="7200"/>
              </w:tabs>
              <w:rPr>
                <w:rFonts w:ascii="Arial" w:hAnsi="Arial"/>
                <w:b/>
                <w:sz w:val="28"/>
              </w:rPr>
            </w:pPr>
            <w:r>
              <w:rPr>
                <w:rFonts w:ascii="Arial" w:hAnsi="Arial"/>
                <w:b/>
                <w:sz w:val="28"/>
              </w:rPr>
              <w:tab/>
              <w:t>Cash</w:t>
            </w:r>
            <w:r>
              <w:rPr>
                <w:rFonts w:ascii="Arial" w:hAnsi="Arial"/>
                <w:b/>
                <w:sz w:val="28"/>
              </w:rPr>
              <w:tab/>
            </w:r>
          </w:p>
        </w:tc>
        <w:tc>
          <w:tcPr>
            <w:tcW w:w="1170" w:type="dxa"/>
          </w:tcPr>
          <w:p w:rsidR="00CC5581" w:rsidRDefault="00CC5581">
            <w:pPr>
              <w:jc w:val="right"/>
              <w:rPr>
                <w:rFonts w:ascii="Arial" w:hAnsi="Arial"/>
                <w:b/>
                <w:sz w:val="28"/>
              </w:rPr>
            </w:pPr>
          </w:p>
        </w:tc>
        <w:tc>
          <w:tcPr>
            <w:tcW w:w="1170" w:type="dxa"/>
            <w:hideMark/>
          </w:tcPr>
          <w:p w:rsidR="00CC5581" w:rsidRDefault="00CC5581">
            <w:pPr>
              <w:jc w:val="right"/>
              <w:rPr>
                <w:rFonts w:ascii="Arial" w:hAnsi="Arial"/>
                <w:b/>
                <w:sz w:val="28"/>
              </w:rPr>
            </w:pPr>
            <w:r>
              <w:rPr>
                <w:rFonts w:ascii="Arial" w:hAnsi="Arial"/>
                <w:b/>
                <w:sz w:val="28"/>
              </w:rPr>
              <w:t>52,920</w:t>
            </w:r>
          </w:p>
        </w:tc>
      </w:tr>
      <w:tr w:rsidR="00CC5581" w:rsidTr="00CC5581">
        <w:trPr>
          <w:trHeight w:val="279"/>
        </w:trPr>
        <w:tc>
          <w:tcPr>
            <w:tcW w:w="918" w:type="dxa"/>
          </w:tcPr>
          <w:p w:rsidR="00CC5581" w:rsidRDefault="00CC5581">
            <w:pPr>
              <w:rPr>
                <w:rFonts w:ascii="Arial" w:hAnsi="Arial"/>
                <w:b/>
                <w:sz w:val="28"/>
              </w:rPr>
            </w:pPr>
          </w:p>
        </w:tc>
        <w:tc>
          <w:tcPr>
            <w:tcW w:w="5580" w:type="dxa"/>
            <w:hideMark/>
          </w:tcPr>
          <w:p w:rsidR="00CC5581" w:rsidRDefault="00CC5581">
            <w:pPr>
              <w:tabs>
                <w:tab w:val="left" w:pos="720"/>
                <w:tab w:val="right" w:leader="dot" w:pos="7200"/>
              </w:tabs>
              <w:rPr>
                <w:rFonts w:ascii="Arial" w:hAnsi="Arial"/>
                <w:b/>
                <w:sz w:val="28"/>
              </w:rPr>
            </w:pPr>
            <w:r>
              <w:rPr>
                <w:rFonts w:ascii="Arial" w:hAnsi="Arial"/>
                <w:b/>
                <w:sz w:val="28"/>
              </w:rPr>
              <w:tab/>
              <w:t>Purchase Discounts</w:t>
            </w:r>
            <w:r>
              <w:rPr>
                <w:rFonts w:ascii="Arial" w:hAnsi="Arial"/>
                <w:b/>
                <w:sz w:val="28"/>
              </w:rPr>
              <w:tab/>
            </w:r>
          </w:p>
        </w:tc>
        <w:tc>
          <w:tcPr>
            <w:tcW w:w="1170" w:type="dxa"/>
          </w:tcPr>
          <w:p w:rsidR="00CC5581" w:rsidRDefault="00CC5581">
            <w:pPr>
              <w:jc w:val="right"/>
              <w:rPr>
                <w:rFonts w:ascii="Arial" w:hAnsi="Arial"/>
                <w:b/>
                <w:sz w:val="28"/>
              </w:rPr>
            </w:pPr>
          </w:p>
        </w:tc>
        <w:tc>
          <w:tcPr>
            <w:tcW w:w="1170" w:type="dxa"/>
            <w:hideMark/>
          </w:tcPr>
          <w:p w:rsidR="00CC5581" w:rsidRDefault="00CC5581">
            <w:pPr>
              <w:jc w:val="right"/>
              <w:rPr>
                <w:rFonts w:ascii="Arial" w:hAnsi="Arial"/>
                <w:b/>
                <w:sz w:val="28"/>
              </w:rPr>
            </w:pPr>
            <w:r>
              <w:rPr>
                <w:rFonts w:ascii="Arial" w:hAnsi="Arial"/>
                <w:b/>
                <w:sz w:val="28"/>
              </w:rPr>
              <w:t>1,080</w:t>
            </w:r>
          </w:p>
        </w:tc>
      </w:tr>
    </w:tbl>
    <w:p w:rsidR="00FA1A87" w:rsidRDefault="00FA1A87">
      <w:bookmarkStart w:id="0" w:name="_GoBack"/>
      <w:bookmarkEnd w:id="0"/>
    </w:p>
    <w:sectPr w:rsidR="00FA1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61A"/>
    <w:multiLevelType w:val="multilevel"/>
    <w:tmpl w:val="04090025"/>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EC64851"/>
    <w:multiLevelType w:val="hybridMultilevel"/>
    <w:tmpl w:val="9DD21C9C"/>
    <w:lvl w:ilvl="0" w:tplc="45FC3E6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14"/>
    <w:rsid w:val="00704C14"/>
    <w:rsid w:val="00CC5581"/>
    <w:rsid w:val="00FA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81"/>
    <w:pPr>
      <w:spacing w:after="0" w:line="240" w:lineRule="auto"/>
    </w:pPr>
    <w:rPr>
      <w:rFonts w:ascii="Times New Roman" w:eastAsia="Times New Roman" w:hAnsi="Times New Roman" w:cs="Times New Roman"/>
      <w:sz w:val="20"/>
      <w:szCs w:val="20"/>
      <w:lang w:val="en-CA"/>
    </w:rPr>
  </w:style>
  <w:style w:type="paragraph" w:styleId="Heading2">
    <w:name w:val="heading 2"/>
    <w:basedOn w:val="Normal"/>
    <w:next w:val="Normal"/>
    <w:link w:val="Heading2Char"/>
    <w:unhideWhenUsed/>
    <w:qFormat/>
    <w:rsid w:val="00CC5581"/>
    <w:pPr>
      <w:keepNext/>
      <w:numPr>
        <w:ilvl w:val="1"/>
        <w:numId w:val="1"/>
      </w:numPr>
      <w:jc w:val="center"/>
      <w:outlineLvl w:val="1"/>
    </w:pPr>
    <w:rPr>
      <w:rFonts w:ascii="Arial" w:hAnsi="Arial"/>
      <w:b/>
      <w:sz w:val="24"/>
    </w:rPr>
  </w:style>
  <w:style w:type="paragraph" w:styleId="Heading3">
    <w:name w:val="heading 3"/>
    <w:basedOn w:val="Normal"/>
    <w:next w:val="Normal"/>
    <w:link w:val="Heading3Char"/>
    <w:unhideWhenUsed/>
    <w:qFormat/>
    <w:rsid w:val="00CC5581"/>
    <w:pPr>
      <w:keepNext/>
      <w:numPr>
        <w:ilvl w:val="2"/>
        <w:numId w:val="1"/>
      </w:numPr>
      <w:outlineLvl w:val="2"/>
    </w:pPr>
    <w:rPr>
      <w:rFonts w:ascii="Helvetica" w:hAnsi="Helvetica"/>
      <w:b/>
      <w:sz w:val="22"/>
    </w:rPr>
  </w:style>
  <w:style w:type="paragraph" w:styleId="Heading4">
    <w:name w:val="heading 4"/>
    <w:basedOn w:val="Normal"/>
    <w:next w:val="Normal"/>
    <w:link w:val="Heading4Char"/>
    <w:semiHidden/>
    <w:unhideWhenUsed/>
    <w:qFormat/>
    <w:rsid w:val="00CC5581"/>
    <w:pPr>
      <w:keepNext/>
      <w:numPr>
        <w:ilvl w:val="3"/>
        <w:numId w:val="1"/>
      </w:numPr>
      <w:outlineLvl w:val="3"/>
    </w:pPr>
    <w:rPr>
      <w:rFonts w:ascii="Helvetica" w:hAnsi="Helvetica"/>
      <w:b/>
      <w:sz w:val="24"/>
      <w:lang w:eastAsia="x-none"/>
    </w:rPr>
  </w:style>
  <w:style w:type="paragraph" w:styleId="Heading5">
    <w:name w:val="heading 5"/>
    <w:basedOn w:val="Normal"/>
    <w:next w:val="Normal"/>
    <w:link w:val="Heading5Char"/>
    <w:semiHidden/>
    <w:unhideWhenUsed/>
    <w:qFormat/>
    <w:rsid w:val="00CC5581"/>
    <w:pPr>
      <w:numPr>
        <w:ilvl w:val="4"/>
        <w:numId w:val="1"/>
      </w:numPr>
      <w:spacing w:before="240" w:after="60"/>
      <w:outlineLvl w:val="4"/>
    </w:pPr>
    <w:rPr>
      <w:sz w:val="22"/>
      <w:lang w:eastAsia="x-none"/>
    </w:rPr>
  </w:style>
  <w:style w:type="paragraph" w:styleId="Heading6">
    <w:name w:val="heading 6"/>
    <w:basedOn w:val="Normal"/>
    <w:next w:val="Normal"/>
    <w:link w:val="Heading6Char"/>
    <w:semiHidden/>
    <w:unhideWhenUsed/>
    <w:qFormat/>
    <w:rsid w:val="00CC5581"/>
    <w:pPr>
      <w:numPr>
        <w:ilvl w:val="5"/>
        <w:numId w:val="1"/>
      </w:numPr>
      <w:spacing w:before="240" w:after="60"/>
      <w:outlineLvl w:val="5"/>
    </w:pPr>
    <w:rPr>
      <w:i/>
      <w:sz w:val="22"/>
      <w:lang w:eastAsia="x-none"/>
    </w:rPr>
  </w:style>
  <w:style w:type="paragraph" w:styleId="Heading7">
    <w:name w:val="heading 7"/>
    <w:basedOn w:val="Normal"/>
    <w:next w:val="Normal"/>
    <w:link w:val="Heading7Char"/>
    <w:semiHidden/>
    <w:unhideWhenUsed/>
    <w:qFormat/>
    <w:rsid w:val="00CC5581"/>
    <w:pPr>
      <w:numPr>
        <w:ilvl w:val="6"/>
        <w:numId w:val="1"/>
      </w:numPr>
      <w:spacing w:before="240" w:after="60"/>
      <w:outlineLvl w:val="6"/>
    </w:pPr>
    <w:rPr>
      <w:rFonts w:ascii="Arial" w:hAnsi="Arial"/>
      <w:lang w:eastAsia="x-none"/>
    </w:rPr>
  </w:style>
  <w:style w:type="paragraph" w:styleId="Heading9">
    <w:name w:val="heading 9"/>
    <w:basedOn w:val="Normal"/>
    <w:next w:val="Normal"/>
    <w:link w:val="Heading9Char"/>
    <w:semiHidden/>
    <w:unhideWhenUsed/>
    <w:qFormat/>
    <w:rsid w:val="00CC5581"/>
    <w:pPr>
      <w:numPr>
        <w:ilvl w:val="8"/>
        <w:numId w:val="1"/>
      </w:numPr>
      <w:spacing w:before="240" w:after="60"/>
      <w:outlineLvl w:val="8"/>
    </w:pPr>
    <w:rPr>
      <w:rFonts w:ascii="Arial" w:hAnsi="Arial"/>
      <w:b/>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5581"/>
    <w:rPr>
      <w:rFonts w:ascii="Arial" w:eastAsia="Times New Roman" w:hAnsi="Arial" w:cs="Times New Roman"/>
      <w:b/>
      <w:sz w:val="24"/>
      <w:szCs w:val="20"/>
      <w:lang w:val="en-CA"/>
    </w:rPr>
  </w:style>
  <w:style w:type="character" w:customStyle="1" w:styleId="Heading3Char">
    <w:name w:val="Heading 3 Char"/>
    <w:basedOn w:val="DefaultParagraphFont"/>
    <w:link w:val="Heading3"/>
    <w:rsid w:val="00CC5581"/>
    <w:rPr>
      <w:rFonts w:ascii="Helvetica" w:eastAsia="Times New Roman" w:hAnsi="Helvetica" w:cs="Times New Roman"/>
      <w:b/>
      <w:szCs w:val="20"/>
      <w:lang w:val="en-CA"/>
    </w:rPr>
  </w:style>
  <w:style w:type="character" w:customStyle="1" w:styleId="Heading4Char">
    <w:name w:val="Heading 4 Char"/>
    <w:basedOn w:val="DefaultParagraphFont"/>
    <w:link w:val="Heading4"/>
    <w:semiHidden/>
    <w:rsid w:val="00CC5581"/>
    <w:rPr>
      <w:rFonts w:ascii="Helvetica" w:eastAsia="Times New Roman" w:hAnsi="Helvetica" w:cs="Times New Roman"/>
      <w:b/>
      <w:sz w:val="24"/>
      <w:szCs w:val="20"/>
      <w:lang w:val="en-CA" w:eastAsia="x-none"/>
    </w:rPr>
  </w:style>
  <w:style w:type="character" w:customStyle="1" w:styleId="Heading5Char">
    <w:name w:val="Heading 5 Char"/>
    <w:basedOn w:val="DefaultParagraphFont"/>
    <w:link w:val="Heading5"/>
    <w:semiHidden/>
    <w:rsid w:val="00CC5581"/>
    <w:rPr>
      <w:rFonts w:ascii="Times New Roman" w:eastAsia="Times New Roman" w:hAnsi="Times New Roman" w:cs="Times New Roman"/>
      <w:szCs w:val="20"/>
      <w:lang w:val="en-CA" w:eastAsia="x-none"/>
    </w:rPr>
  </w:style>
  <w:style w:type="character" w:customStyle="1" w:styleId="Heading6Char">
    <w:name w:val="Heading 6 Char"/>
    <w:basedOn w:val="DefaultParagraphFont"/>
    <w:link w:val="Heading6"/>
    <w:semiHidden/>
    <w:rsid w:val="00CC5581"/>
    <w:rPr>
      <w:rFonts w:ascii="Times New Roman" w:eastAsia="Times New Roman" w:hAnsi="Times New Roman" w:cs="Times New Roman"/>
      <w:i/>
      <w:szCs w:val="20"/>
      <w:lang w:val="en-CA" w:eastAsia="x-none"/>
    </w:rPr>
  </w:style>
  <w:style w:type="character" w:customStyle="1" w:styleId="Heading7Char">
    <w:name w:val="Heading 7 Char"/>
    <w:basedOn w:val="DefaultParagraphFont"/>
    <w:link w:val="Heading7"/>
    <w:semiHidden/>
    <w:rsid w:val="00CC5581"/>
    <w:rPr>
      <w:rFonts w:ascii="Arial" w:eastAsia="Times New Roman" w:hAnsi="Arial" w:cs="Times New Roman"/>
      <w:sz w:val="20"/>
      <w:szCs w:val="20"/>
      <w:lang w:val="en-CA" w:eastAsia="x-none"/>
    </w:rPr>
  </w:style>
  <w:style w:type="character" w:customStyle="1" w:styleId="Heading9Char">
    <w:name w:val="Heading 9 Char"/>
    <w:basedOn w:val="DefaultParagraphFont"/>
    <w:link w:val="Heading9"/>
    <w:semiHidden/>
    <w:rsid w:val="00CC5581"/>
    <w:rPr>
      <w:rFonts w:ascii="Arial" w:eastAsia="Times New Roman" w:hAnsi="Arial" w:cs="Times New Roman"/>
      <w:b/>
      <w:i/>
      <w:sz w:val="18"/>
      <w:szCs w:val="20"/>
      <w:lang w:val="en-CA" w:eastAsia="x-none"/>
    </w:rPr>
  </w:style>
  <w:style w:type="paragraph" w:styleId="Caption">
    <w:name w:val="caption"/>
    <w:basedOn w:val="Normal"/>
    <w:next w:val="Normal"/>
    <w:semiHidden/>
    <w:unhideWhenUsed/>
    <w:qFormat/>
    <w:rsid w:val="00CC5581"/>
    <w:pPr>
      <w:ind w:left="475" w:hanging="475"/>
    </w:pPr>
    <w:rPr>
      <w:rFonts w:ascii="Helvetica" w:hAnsi="Helvetica"/>
      <w:b/>
      <w:sz w:val="28"/>
    </w:rPr>
  </w:style>
  <w:style w:type="paragraph" w:styleId="Title">
    <w:name w:val="Title"/>
    <w:basedOn w:val="Normal"/>
    <w:link w:val="TitleChar"/>
    <w:qFormat/>
    <w:rsid w:val="00CC5581"/>
    <w:pPr>
      <w:jc w:val="center"/>
    </w:pPr>
    <w:rPr>
      <w:rFonts w:ascii="Arial" w:hAnsi="Arial"/>
      <w:b/>
      <w:sz w:val="28"/>
      <w:lang w:eastAsia="x-none"/>
    </w:rPr>
  </w:style>
  <w:style w:type="character" w:customStyle="1" w:styleId="TitleChar">
    <w:name w:val="Title Char"/>
    <w:basedOn w:val="DefaultParagraphFont"/>
    <w:link w:val="Title"/>
    <w:rsid w:val="00CC5581"/>
    <w:rPr>
      <w:rFonts w:ascii="Arial" w:eastAsia="Times New Roman" w:hAnsi="Arial" w:cs="Times New Roman"/>
      <w:b/>
      <w:sz w:val="28"/>
      <w:szCs w:val="20"/>
      <w:lang w:val="en-CA" w:eastAsia="x-none"/>
    </w:rPr>
  </w:style>
  <w:style w:type="paragraph" w:styleId="Subtitle">
    <w:name w:val="Subtitle"/>
    <w:basedOn w:val="Normal"/>
    <w:link w:val="SubtitleChar"/>
    <w:qFormat/>
    <w:rsid w:val="00CC5581"/>
    <w:pPr>
      <w:jc w:val="center"/>
    </w:pPr>
    <w:rPr>
      <w:rFonts w:ascii="Arial" w:hAnsi="Arial"/>
      <w:b/>
      <w:sz w:val="24"/>
      <w:lang w:eastAsia="x-none"/>
    </w:rPr>
  </w:style>
  <w:style w:type="character" w:customStyle="1" w:styleId="SubtitleChar">
    <w:name w:val="Subtitle Char"/>
    <w:basedOn w:val="DefaultParagraphFont"/>
    <w:link w:val="Subtitle"/>
    <w:rsid w:val="00CC5581"/>
    <w:rPr>
      <w:rFonts w:ascii="Arial" w:eastAsia="Times New Roman" w:hAnsi="Arial" w:cs="Times New Roman"/>
      <w:b/>
      <w:sz w:val="24"/>
      <w:szCs w:val="20"/>
      <w:lang w:val="en-C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81"/>
    <w:pPr>
      <w:spacing w:after="0" w:line="240" w:lineRule="auto"/>
    </w:pPr>
    <w:rPr>
      <w:rFonts w:ascii="Times New Roman" w:eastAsia="Times New Roman" w:hAnsi="Times New Roman" w:cs="Times New Roman"/>
      <w:sz w:val="20"/>
      <w:szCs w:val="20"/>
      <w:lang w:val="en-CA"/>
    </w:rPr>
  </w:style>
  <w:style w:type="paragraph" w:styleId="Heading2">
    <w:name w:val="heading 2"/>
    <w:basedOn w:val="Normal"/>
    <w:next w:val="Normal"/>
    <w:link w:val="Heading2Char"/>
    <w:unhideWhenUsed/>
    <w:qFormat/>
    <w:rsid w:val="00CC5581"/>
    <w:pPr>
      <w:keepNext/>
      <w:numPr>
        <w:ilvl w:val="1"/>
        <w:numId w:val="1"/>
      </w:numPr>
      <w:jc w:val="center"/>
      <w:outlineLvl w:val="1"/>
    </w:pPr>
    <w:rPr>
      <w:rFonts w:ascii="Arial" w:hAnsi="Arial"/>
      <w:b/>
      <w:sz w:val="24"/>
    </w:rPr>
  </w:style>
  <w:style w:type="paragraph" w:styleId="Heading3">
    <w:name w:val="heading 3"/>
    <w:basedOn w:val="Normal"/>
    <w:next w:val="Normal"/>
    <w:link w:val="Heading3Char"/>
    <w:unhideWhenUsed/>
    <w:qFormat/>
    <w:rsid w:val="00CC5581"/>
    <w:pPr>
      <w:keepNext/>
      <w:numPr>
        <w:ilvl w:val="2"/>
        <w:numId w:val="1"/>
      </w:numPr>
      <w:outlineLvl w:val="2"/>
    </w:pPr>
    <w:rPr>
      <w:rFonts w:ascii="Helvetica" w:hAnsi="Helvetica"/>
      <w:b/>
      <w:sz w:val="22"/>
    </w:rPr>
  </w:style>
  <w:style w:type="paragraph" w:styleId="Heading4">
    <w:name w:val="heading 4"/>
    <w:basedOn w:val="Normal"/>
    <w:next w:val="Normal"/>
    <w:link w:val="Heading4Char"/>
    <w:semiHidden/>
    <w:unhideWhenUsed/>
    <w:qFormat/>
    <w:rsid w:val="00CC5581"/>
    <w:pPr>
      <w:keepNext/>
      <w:numPr>
        <w:ilvl w:val="3"/>
        <w:numId w:val="1"/>
      </w:numPr>
      <w:outlineLvl w:val="3"/>
    </w:pPr>
    <w:rPr>
      <w:rFonts w:ascii="Helvetica" w:hAnsi="Helvetica"/>
      <w:b/>
      <w:sz w:val="24"/>
      <w:lang w:eastAsia="x-none"/>
    </w:rPr>
  </w:style>
  <w:style w:type="paragraph" w:styleId="Heading5">
    <w:name w:val="heading 5"/>
    <w:basedOn w:val="Normal"/>
    <w:next w:val="Normal"/>
    <w:link w:val="Heading5Char"/>
    <w:semiHidden/>
    <w:unhideWhenUsed/>
    <w:qFormat/>
    <w:rsid w:val="00CC5581"/>
    <w:pPr>
      <w:numPr>
        <w:ilvl w:val="4"/>
        <w:numId w:val="1"/>
      </w:numPr>
      <w:spacing w:before="240" w:after="60"/>
      <w:outlineLvl w:val="4"/>
    </w:pPr>
    <w:rPr>
      <w:sz w:val="22"/>
      <w:lang w:eastAsia="x-none"/>
    </w:rPr>
  </w:style>
  <w:style w:type="paragraph" w:styleId="Heading6">
    <w:name w:val="heading 6"/>
    <w:basedOn w:val="Normal"/>
    <w:next w:val="Normal"/>
    <w:link w:val="Heading6Char"/>
    <w:semiHidden/>
    <w:unhideWhenUsed/>
    <w:qFormat/>
    <w:rsid w:val="00CC5581"/>
    <w:pPr>
      <w:numPr>
        <w:ilvl w:val="5"/>
        <w:numId w:val="1"/>
      </w:numPr>
      <w:spacing w:before="240" w:after="60"/>
      <w:outlineLvl w:val="5"/>
    </w:pPr>
    <w:rPr>
      <w:i/>
      <w:sz w:val="22"/>
      <w:lang w:eastAsia="x-none"/>
    </w:rPr>
  </w:style>
  <w:style w:type="paragraph" w:styleId="Heading7">
    <w:name w:val="heading 7"/>
    <w:basedOn w:val="Normal"/>
    <w:next w:val="Normal"/>
    <w:link w:val="Heading7Char"/>
    <w:semiHidden/>
    <w:unhideWhenUsed/>
    <w:qFormat/>
    <w:rsid w:val="00CC5581"/>
    <w:pPr>
      <w:numPr>
        <w:ilvl w:val="6"/>
        <w:numId w:val="1"/>
      </w:numPr>
      <w:spacing w:before="240" w:after="60"/>
      <w:outlineLvl w:val="6"/>
    </w:pPr>
    <w:rPr>
      <w:rFonts w:ascii="Arial" w:hAnsi="Arial"/>
      <w:lang w:eastAsia="x-none"/>
    </w:rPr>
  </w:style>
  <w:style w:type="paragraph" w:styleId="Heading9">
    <w:name w:val="heading 9"/>
    <w:basedOn w:val="Normal"/>
    <w:next w:val="Normal"/>
    <w:link w:val="Heading9Char"/>
    <w:semiHidden/>
    <w:unhideWhenUsed/>
    <w:qFormat/>
    <w:rsid w:val="00CC5581"/>
    <w:pPr>
      <w:numPr>
        <w:ilvl w:val="8"/>
        <w:numId w:val="1"/>
      </w:numPr>
      <w:spacing w:before="240" w:after="60"/>
      <w:outlineLvl w:val="8"/>
    </w:pPr>
    <w:rPr>
      <w:rFonts w:ascii="Arial" w:hAnsi="Arial"/>
      <w:b/>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5581"/>
    <w:rPr>
      <w:rFonts w:ascii="Arial" w:eastAsia="Times New Roman" w:hAnsi="Arial" w:cs="Times New Roman"/>
      <w:b/>
      <w:sz w:val="24"/>
      <w:szCs w:val="20"/>
      <w:lang w:val="en-CA"/>
    </w:rPr>
  </w:style>
  <w:style w:type="character" w:customStyle="1" w:styleId="Heading3Char">
    <w:name w:val="Heading 3 Char"/>
    <w:basedOn w:val="DefaultParagraphFont"/>
    <w:link w:val="Heading3"/>
    <w:rsid w:val="00CC5581"/>
    <w:rPr>
      <w:rFonts w:ascii="Helvetica" w:eastAsia="Times New Roman" w:hAnsi="Helvetica" w:cs="Times New Roman"/>
      <w:b/>
      <w:szCs w:val="20"/>
      <w:lang w:val="en-CA"/>
    </w:rPr>
  </w:style>
  <w:style w:type="character" w:customStyle="1" w:styleId="Heading4Char">
    <w:name w:val="Heading 4 Char"/>
    <w:basedOn w:val="DefaultParagraphFont"/>
    <w:link w:val="Heading4"/>
    <w:semiHidden/>
    <w:rsid w:val="00CC5581"/>
    <w:rPr>
      <w:rFonts w:ascii="Helvetica" w:eastAsia="Times New Roman" w:hAnsi="Helvetica" w:cs="Times New Roman"/>
      <w:b/>
      <w:sz w:val="24"/>
      <w:szCs w:val="20"/>
      <w:lang w:val="en-CA" w:eastAsia="x-none"/>
    </w:rPr>
  </w:style>
  <w:style w:type="character" w:customStyle="1" w:styleId="Heading5Char">
    <w:name w:val="Heading 5 Char"/>
    <w:basedOn w:val="DefaultParagraphFont"/>
    <w:link w:val="Heading5"/>
    <w:semiHidden/>
    <w:rsid w:val="00CC5581"/>
    <w:rPr>
      <w:rFonts w:ascii="Times New Roman" w:eastAsia="Times New Roman" w:hAnsi="Times New Roman" w:cs="Times New Roman"/>
      <w:szCs w:val="20"/>
      <w:lang w:val="en-CA" w:eastAsia="x-none"/>
    </w:rPr>
  </w:style>
  <w:style w:type="character" w:customStyle="1" w:styleId="Heading6Char">
    <w:name w:val="Heading 6 Char"/>
    <w:basedOn w:val="DefaultParagraphFont"/>
    <w:link w:val="Heading6"/>
    <w:semiHidden/>
    <w:rsid w:val="00CC5581"/>
    <w:rPr>
      <w:rFonts w:ascii="Times New Roman" w:eastAsia="Times New Roman" w:hAnsi="Times New Roman" w:cs="Times New Roman"/>
      <w:i/>
      <w:szCs w:val="20"/>
      <w:lang w:val="en-CA" w:eastAsia="x-none"/>
    </w:rPr>
  </w:style>
  <w:style w:type="character" w:customStyle="1" w:styleId="Heading7Char">
    <w:name w:val="Heading 7 Char"/>
    <w:basedOn w:val="DefaultParagraphFont"/>
    <w:link w:val="Heading7"/>
    <w:semiHidden/>
    <w:rsid w:val="00CC5581"/>
    <w:rPr>
      <w:rFonts w:ascii="Arial" w:eastAsia="Times New Roman" w:hAnsi="Arial" w:cs="Times New Roman"/>
      <w:sz w:val="20"/>
      <w:szCs w:val="20"/>
      <w:lang w:val="en-CA" w:eastAsia="x-none"/>
    </w:rPr>
  </w:style>
  <w:style w:type="character" w:customStyle="1" w:styleId="Heading9Char">
    <w:name w:val="Heading 9 Char"/>
    <w:basedOn w:val="DefaultParagraphFont"/>
    <w:link w:val="Heading9"/>
    <w:semiHidden/>
    <w:rsid w:val="00CC5581"/>
    <w:rPr>
      <w:rFonts w:ascii="Arial" w:eastAsia="Times New Roman" w:hAnsi="Arial" w:cs="Times New Roman"/>
      <w:b/>
      <w:i/>
      <w:sz w:val="18"/>
      <w:szCs w:val="20"/>
      <w:lang w:val="en-CA" w:eastAsia="x-none"/>
    </w:rPr>
  </w:style>
  <w:style w:type="paragraph" w:styleId="Caption">
    <w:name w:val="caption"/>
    <w:basedOn w:val="Normal"/>
    <w:next w:val="Normal"/>
    <w:semiHidden/>
    <w:unhideWhenUsed/>
    <w:qFormat/>
    <w:rsid w:val="00CC5581"/>
    <w:pPr>
      <w:ind w:left="475" w:hanging="475"/>
    </w:pPr>
    <w:rPr>
      <w:rFonts w:ascii="Helvetica" w:hAnsi="Helvetica"/>
      <w:b/>
      <w:sz w:val="28"/>
    </w:rPr>
  </w:style>
  <w:style w:type="paragraph" w:styleId="Title">
    <w:name w:val="Title"/>
    <w:basedOn w:val="Normal"/>
    <w:link w:val="TitleChar"/>
    <w:qFormat/>
    <w:rsid w:val="00CC5581"/>
    <w:pPr>
      <w:jc w:val="center"/>
    </w:pPr>
    <w:rPr>
      <w:rFonts w:ascii="Arial" w:hAnsi="Arial"/>
      <w:b/>
      <w:sz w:val="28"/>
      <w:lang w:eastAsia="x-none"/>
    </w:rPr>
  </w:style>
  <w:style w:type="character" w:customStyle="1" w:styleId="TitleChar">
    <w:name w:val="Title Char"/>
    <w:basedOn w:val="DefaultParagraphFont"/>
    <w:link w:val="Title"/>
    <w:rsid w:val="00CC5581"/>
    <w:rPr>
      <w:rFonts w:ascii="Arial" w:eastAsia="Times New Roman" w:hAnsi="Arial" w:cs="Times New Roman"/>
      <w:b/>
      <w:sz w:val="28"/>
      <w:szCs w:val="20"/>
      <w:lang w:val="en-CA" w:eastAsia="x-none"/>
    </w:rPr>
  </w:style>
  <w:style w:type="paragraph" w:styleId="Subtitle">
    <w:name w:val="Subtitle"/>
    <w:basedOn w:val="Normal"/>
    <w:link w:val="SubtitleChar"/>
    <w:qFormat/>
    <w:rsid w:val="00CC5581"/>
    <w:pPr>
      <w:jc w:val="center"/>
    </w:pPr>
    <w:rPr>
      <w:rFonts w:ascii="Arial" w:hAnsi="Arial"/>
      <w:b/>
      <w:sz w:val="24"/>
      <w:lang w:eastAsia="x-none"/>
    </w:rPr>
  </w:style>
  <w:style w:type="character" w:customStyle="1" w:styleId="SubtitleChar">
    <w:name w:val="Subtitle Char"/>
    <w:basedOn w:val="DefaultParagraphFont"/>
    <w:link w:val="Subtitle"/>
    <w:rsid w:val="00CC5581"/>
    <w:rPr>
      <w:rFonts w:ascii="Arial" w:eastAsia="Times New Roman" w:hAnsi="Arial" w:cs="Times New Roman"/>
      <w:b/>
      <w:sz w:val="24"/>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2021-02-20T02:28:00Z</dcterms:created>
  <dcterms:modified xsi:type="dcterms:W3CDTF">2021-02-20T02:29:00Z</dcterms:modified>
</cp:coreProperties>
</file>